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baseline"/>
        <w:rPr>
          <w:rFonts w:asci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baseline"/>
        <w:rPr>
          <w:rFonts w:hint="eastAsia" w:ascii="黑体" w:hAnsi="黑体" w:eastAsia="黑体" w:cs="黑体"/>
          <w:color w:val="000000"/>
          <w:kern w:val="0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highlight w:val="none"/>
        </w:rPr>
        <w:t>招聘岗位、人数及专业等相关要求</w:t>
      </w:r>
    </w:p>
    <w:tbl>
      <w:tblPr>
        <w:tblStyle w:val="2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669"/>
        <w:gridCol w:w="945"/>
        <w:gridCol w:w="360"/>
        <w:gridCol w:w="366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东阳技校校区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建筑智能化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建筑电气与智能化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电气工程及其自动化、电气工程与智能控制、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电气控制与自动化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电气工程及其自动化、应用电子技术教育、集成电路设计与集成系统、电气工程与智能控制、电子信息科学与技术、电子科学与技术、自动化、电子信息工程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（排球方向）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体育学类、非体育学类需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具备国家级二级运动员及以上证书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本科：计算机类；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研究生：计算机科学与技术、电子科学与技术、信息与通信工程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旅游（茶艺方向）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茶学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市场营销教育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、工商管理、物流管理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东阳二职校区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公共卫生与预防医学类、中医学类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0C047D00"/>
    <w:rsid w:val="0C0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2023-05-05T08:29:00Z</dcterms:created>
  <dc:creator>燕子</dc:creator>
  <cp:lastModifiedBy>燕子</cp:lastModifiedBy>
  <dcterms:modified xsi:type="dcterms:W3CDTF">2023-05-05T08:30:02Z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AC4357D2F2E64416AA2849B9AAE08821_11</vt:lpwstr>
  </property>
</Properties>
</file>