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113"/>
        <w:gridCol w:w="880"/>
        <w:gridCol w:w="627"/>
        <w:gridCol w:w="8906"/>
        <w:gridCol w:w="1040"/>
        <w:gridCol w:w="13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718" w:rightChars="342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半年舟山市教育局直属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高中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学校赴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浙江海洋大学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公开招聘教师计划表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  <w:t>考试形式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浙江省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舟山中学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陈老师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13505807789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生物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研究生：生物学类、生物工程、海洋生物学、课程与教学论（生物方向）、学科教学（生物方向）、</w:t>
            </w:r>
            <w:r>
              <w:rPr>
                <w:rFonts w:ascii="仿宋_GB2312" w:hAnsi="宋体" w:eastAsia="仿宋_GB2312" w:cs="宋体"/>
                <w:szCs w:val="21"/>
              </w:rPr>
              <w:t>教育（学科教学</w:t>
            </w:r>
            <w:r>
              <w:rPr>
                <w:rFonts w:hint="eastAsia" w:ascii="仿宋_GB2312" w:hAnsi="宋体" w:eastAsia="仿宋_GB2312" w:cs="宋体"/>
                <w:szCs w:val="21"/>
              </w:rPr>
              <w:t>生物</w:t>
            </w:r>
            <w:r>
              <w:rPr>
                <w:rFonts w:ascii="仿宋_GB2312" w:hAnsi="宋体" w:eastAsia="仿宋_GB2312" w:cs="宋体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本科：生物科学类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  <w:lang w:eastAsia="zh-CN"/>
              </w:rPr>
              <w:t>浙江省定海第一中学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乐</w:t>
            </w:r>
            <w:r>
              <w:rPr>
                <w:rFonts w:hint="eastAsia" w:ascii="仿宋" w:hAnsi="仿宋" w:eastAsia="仿宋" w:cs="宋体"/>
                <w:snapToGrid w:val="0"/>
                <w:szCs w:val="21"/>
              </w:rPr>
              <w:t>老师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18605803327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舟山市南海实验学校高中部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干老师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13505808293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研究生：化学类、课程与教学论（化学）、学科教学（化学）、教育（学科教学化学）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本科：化学、应用化学、化学工程与工艺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浙江省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普陀中学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研究生:中国语言文学类、课程与教学论（语文）、学科教学（语文）、教育（学科教学语文）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本科：中国语言文学类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叶老师</w:t>
            </w:r>
          </w:p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13567658150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沈家门中学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陆老师</w:t>
            </w:r>
          </w:p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14705806689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研究生：化学类、课程与教学论（化学）、学科教学（化学）、教育（学科教学化学）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本科：化学、应用化学、化学工程与工艺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六横中学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王老师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13867210544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本科：政治学类、哲学类、马克思主义理论类、法学类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舟山航海学校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信息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研究生：计算机科学与技术类、教育技术学、课程与教学论（教育技术学）、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学科教学（信息技术）、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教育（学科教学教育技术学）、数字媒体技术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本科：计算机类、教育技术学、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数字媒体技术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王老师</w:t>
            </w:r>
          </w:p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13868201521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航海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研究生：交通运输工程类、船舶与海洋工程类（以上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类本科必须为航海技术专业）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本科：航海技术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舟山旅游商贸学校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本科：政治学类、哲学类、马克思主义理论类、法学类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刘老师</w:t>
            </w:r>
          </w:p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13967235741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音乐（声乐方向）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音乐、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艺术学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类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（本科必须为音乐学、音乐教育）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本科：音乐学、音乐教育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  <w:r>
              <w:rPr>
                <w:rFonts w:hint="eastAsia" w:ascii="仿宋" w:hAnsi="仿宋" w:eastAsia="仿宋" w:cs="宋体"/>
                <w:snapToGrid w:val="0"/>
                <w:szCs w:val="21"/>
                <w:lang w:val="en-US" w:eastAsia="zh-CN"/>
              </w:rPr>
              <w:t>+专业技能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9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5CBE6499"/>
    <w:rsid w:val="5CB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2023-03-17T08:03:00Z</dcterms:created>
  <dc:creator>1</dc:creator>
  <cp:lastModifiedBy>1</cp:lastModifiedBy>
  <dcterms:modified xsi:type="dcterms:W3CDTF">2023-03-17T08:05:00Z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2860E0F82E8A4FD4AE14D06081E09865</vt:lpwstr>
  </property>
</Properties>
</file>