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i w:val="0"/>
          <w:iCs w:val="0"/>
          <w:caps w:val="0"/>
          <w:color w:val="666666"/>
          <w:spacing w:val="0"/>
          <w:kern w:val="0"/>
          <w:sz w:val="27"/>
          <w:szCs w:val="27"/>
          <w:lang w:val="en-US" w:eastAsia="zh-CN" w:bidi="ar"/>
        </w:rPr>
      </w:pPr>
      <w:r>
        <w:rPr>
          <w:rFonts w:hint="eastAsia" w:ascii="微软雅黑" w:hAnsi="微软雅黑" w:eastAsia="微软雅黑" w:cs="微软雅黑"/>
          <w:b/>
          <w:bCs/>
          <w:i w:val="0"/>
          <w:iCs w:val="0"/>
          <w:caps w:val="0"/>
          <w:color w:val="666666"/>
          <w:spacing w:val="0"/>
          <w:kern w:val="0"/>
          <w:sz w:val="27"/>
          <w:szCs w:val="27"/>
          <w:lang w:val="en-US" w:eastAsia="zh-CN" w:bidi="ar"/>
        </w:rPr>
        <w:t>余姚市面向2023年普通高校全日制应届毕业生招聘第一批教师简章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sz w:val="21"/>
          <w:szCs w:val="21"/>
          <w:shd w:val="clear" w:fill="FFFFFF"/>
        </w:rPr>
        <w:t>为确保我市教育事业稳步发展，全面提高教师队伍素质，根据我市师资现状和2023年教师招聘计划，经商市有关部门同意，决定面向2023年普通高校全日制应届毕业生招聘第一批教师。现将有关事项公告如下：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1"/>
        <w:jc w:val="both"/>
      </w:pPr>
      <w:r>
        <w:rPr>
          <w:rFonts w:hint="eastAsia" w:ascii="微软雅黑" w:hAnsi="微软雅黑" w:eastAsia="微软雅黑" w:cs="微软雅黑"/>
          <w:b/>
          <w:bCs/>
          <w:i w:val="0"/>
          <w:iCs w:val="0"/>
          <w:caps w:val="0"/>
          <w:color w:val="555555"/>
          <w:spacing w:val="0"/>
          <w:sz w:val="21"/>
          <w:szCs w:val="21"/>
          <w:shd w:val="clear" w:fill="FFFFFF"/>
        </w:rPr>
        <w:t>一、招聘指标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i w:val="0"/>
          <w:iCs w:val="0"/>
          <w:caps w:val="0"/>
          <w:color w:val="555555"/>
          <w:spacing w:val="0"/>
          <w:sz w:val="21"/>
          <w:szCs w:val="21"/>
          <w:shd w:val="clear" w:fill="FFFFFF"/>
        </w:rPr>
        <w:t>本次计划招聘教师105名。招聘岗位、指标详见《余姚市面向2023年普通高校全日制应届毕业生招聘教师岗位计划表》（附件1）。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sz w:val="21"/>
          <w:szCs w:val="21"/>
          <w:shd w:val="clear" w:fill="FFFFFF"/>
        </w:rPr>
        <w:t>二、招聘原则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sz w:val="21"/>
          <w:szCs w:val="21"/>
          <w:shd w:val="clear" w:fill="FFFFFF"/>
        </w:rPr>
        <w:t>坚持“公开、公平、竞争、择优”原则。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sz w:val="21"/>
          <w:szCs w:val="21"/>
          <w:shd w:val="clear" w:fill="FFFFFF"/>
        </w:rPr>
        <w:t>三、招聘对象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（一）高考第一段录取的2023年普通高校全日制师范类应届本科毕业生（2023年全国重点高校</w:t>
      </w:r>
      <w:bookmarkStart w:id="0" w:name="_GoBack"/>
      <w:bookmarkEnd w:id="0"/>
      <w:r>
        <w:rPr>
          <w:rFonts w:hint="eastAsia" w:ascii="微软雅黑" w:hAnsi="微软雅黑" w:eastAsia="微软雅黑" w:cs="微软雅黑"/>
          <w:i w:val="0"/>
          <w:iCs w:val="0"/>
          <w:caps w:val="0"/>
          <w:color w:val="555555"/>
          <w:spacing w:val="0"/>
          <w:kern w:val="0"/>
          <w:sz w:val="24"/>
          <w:szCs w:val="24"/>
          <w:shd w:val="clear" w:fill="FFFFFF"/>
          <w:lang w:val="en-US" w:eastAsia="zh-CN" w:bidi="ar"/>
        </w:rPr>
        <w:t>全日制应届本科毕业生不受师范类限制）。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（二）本科为师范类毕业或研究生为教育类专业的2023年普通高校全日制应届毕业研究生（2023年全国重点高校全日制应届毕业研究生不受本科师范类和研究生教育类限制）。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（三）中小学音乐、小学体育、小学美术、学前教育、特殊教育、职高专业岗位允许2023年普通高校全日制应届优秀本科毕业生报考。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（四）2022年9月1日至2023年8月31日国（境）外普通高校全日制毕业生等同于国内2023年普通高校全日制应届毕业生，报考时仍未毕业的可凭国（境）外学校学籍证明报名。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（五）仍处于择业期的2021届、2022届普通高校全日制毕业生符合上述对象相关条件的允许报考。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四、报考条件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招聘对象还须符合以下条件：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sz w:val="21"/>
          <w:szCs w:val="21"/>
          <w:shd w:val="clear" w:fill="FFFFFF"/>
        </w:rPr>
        <w:t>（一）政治条件：拥护党的基本路线，热爱并安心教育事业，具备良好的职业素养，服从组织工作安排，遵纪守法，品行端正，无惩处记录。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sz w:val="21"/>
          <w:szCs w:val="21"/>
          <w:shd w:val="clear" w:fill="FFFFFF"/>
        </w:rPr>
        <w:t>（二）年龄条件：1992年9月30日以后出生。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sz w:val="21"/>
          <w:szCs w:val="21"/>
          <w:shd w:val="clear" w:fill="FFFFFF"/>
        </w:rPr>
        <w:t>（三）生源地和户籍条件：浙江省生源或户籍（研究生和职高专业岗位报考人员户籍不限）。生源地须提交高中毕业证书予以界定。户籍入户时间截至2022年9月30日。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sz w:val="21"/>
          <w:szCs w:val="21"/>
          <w:shd w:val="clear" w:fill="FFFFFF"/>
        </w:rPr>
        <w:t>（四）专业条件：所学专业须与报考岗位学科对口（以研究生学历报考的考生，研究生所学专业须与报考岗位学科对口）。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五）报考北京师范大学余姚实验学校教师岗位的，教育部六所直属师范院校应届本科毕业生不受户籍限制（北京师范大学、华东师范大学、华中师范大学、东北师范大学、陕西师范大学、西南大学）。报考北京师范大学余姚实验学校初中教师岗位须为全日制研究生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sz w:val="21"/>
          <w:szCs w:val="21"/>
          <w:shd w:val="clear" w:fill="FFFFFF"/>
        </w:rPr>
        <w:t>（六）其他条件：详见招聘岗位计划表（附件1）备注栏要求。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b/>
          <w:bCs/>
          <w:i w:val="0"/>
          <w:iCs w:val="0"/>
          <w:caps w:val="0"/>
          <w:color w:val="555555"/>
          <w:spacing w:val="0"/>
          <w:sz w:val="21"/>
          <w:szCs w:val="21"/>
          <w:shd w:val="clear" w:fill="FFFFFF"/>
        </w:rPr>
        <w:t>五、招聘程序和办法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招聘采取公开报名、资格审核、考试、体检、考察等办法择优聘用。具体程序及办法如下：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pP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（一）网上报名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1.本次招聘只接受网上报名，不接受现场补报名。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2.时间：2022年11月10日9：00—13日11：00。报考人员在规定时限内，登陆“余姚市教师招聘报名系统”（</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"http://www.yuyaojiaoyuju.cc)/"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u w:val="none"/>
          <w:shd w:val="clear" w:fill="FFFFFF"/>
        </w:rPr>
        <w:t>http://www.yuyaojiaoyuju.cc）</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，注册成功后，按要求如实填写个人信息和报考岗位，并保存。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3.每位报考人员只允许选择一个岗位报考，因招聘岗位错填、漏填造成的网上报名不成功，责任由报考人员自负。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4.2022年11月13日11：00--14日17：00，招聘单位对报考人员进行资格初审，在此期间报名系统不再对报考人员开放。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5.2022年11月15日9：00--11：00报考人员可在“余姚市教师招聘报名系统”查看初审结果。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sz w:val="21"/>
          <w:szCs w:val="21"/>
          <w:shd w:val="clear" w:fill="FFFFFF"/>
        </w:rPr>
        <w:t>（二）现场资格审核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1.时间和地点：2022年11月16日8∶00—11∶30，在金华市雏英教育（金华市婺城区丹光路108号）进行。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2.审核时报考人员须提交下列材料：身份证、户口簿（凭生源地报名的考生另须提供高中毕业证书）、学生证（处于择业期的2021届、2022届全日制普通高校毕业生须提供毕业证书及符合择业期要求的相关证明材料等）原件和复印件，《余姚市面向2023年普通高校全日制应届毕业生招聘教师报名表》（附件2，建议在360浏览器极速模式下报名系统内打印报名表）、《报考人员健康申报表》（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3.准考证说明：本次招聘不发准考证，报考人员参加各环节的测试和体检时须随带本人身份证。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（三）考试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本次招聘考试含综合能力测试、笔试、面试三个环节。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90"/>
        <w:jc w:val="both"/>
      </w:pP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1.综合能力测试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（1）对象：现场资格审核通过者。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（2）时间和地点：2022年11月16日下午-17日（具体时间段另行通知）在金华市雏英教育进行。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（3）综合能力测试主要内容：教育教学观念、举止仪表、语言表达、综合分析、心理素质、才艺特长、在校学习表现等。以面谈方式为主，测试时间3分钟，成绩采用百分制，60分及以上者为合格人员。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90"/>
        <w:jc w:val="both"/>
      </w:pP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2.笔试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88"/>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（1）对象：在综合能力测试合格人员中，根据综合能力测试成绩按招聘岗位指标1：3的比例从高分到低分确定笔试对象，比例内最后一名分数并列的全部入围，不足比例的按实际人数入围。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（2）时间和地点：2022年11月17日18:00—20:00在金华市雏英教育进行。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7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（3）笔试主要测试学科专业知识，成绩采用百分制。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70"/>
        <w:jc w:val="both"/>
      </w:pP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3.面试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（1）对象：实际参加笔试人员。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（2）时间和地点：</w:t>
      </w: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无技能测试的岗位</w:t>
      </w: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（不含职高专业）2022年11月18日8:00在金华市雏英教育进行；</w:t>
      </w: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需技能测试的岗位</w:t>
      </w: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w:t>
      </w:r>
      <w:r>
        <w:rPr>
          <w:rFonts w:hint="eastAsia" w:ascii="微软雅黑" w:hAnsi="微软雅黑" w:eastAsia="微软雅黑" w:cs="微软雅黑"/>
          <w:i w:val="0"/>
          <w:iCs w:val="0"/>
          <w:caps w:val="0"/>
          <w:color w:val="555555"/>
          <w:spacing w:val="0"/>
          <w:kern w:val="0"/>
          <w:sz w:val="24"/>
          <w:szCs w:val="24"/>
          <w:u w:val="single"/>
          <w:shd w:val="clear" w:fill="FFFFFF"/>
          <w:lang w:val="en-US" w:eastAsia="zh-CN" w:bidi="ar"/>
        </w:rPr>
        <w:t>中小学音乐、小学体育、小学美术、学前教育、中小学信息技术和职高农业、机械设计、跨境电商、数字媒体、美术专业，</w:t>
      </w: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下同）及职业教育研究、职高工商企业管理专业于2022年11月26日8:00在余姚进行（具体地点另行通知）。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（3）面试形式：</w:t>
      </w: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无技能测试的岗位</w:t>
      </w: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为模拟上课，模拟上课主要测试报考人员的课堂教学能力。报考人员准备时间45分钟，模拟上课时间12分钟。成绩采用百分制，60分及以上者为合格人员。</w:t>
      </w: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需技能测试的岗位</w:t>
      </w: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为模拟上课+专业技能测试。模拟上课办法同上（学前教育岗位模拟上课时间10分钟）；专业技能测试办法（测试项目、权重及相关要求）另行告知，成绩采用百分制，60分及以上者为合格人员。面试成绩=模拟上课×40%+技能测试×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（四）签约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1.签约人员确定方法：所有测试环节结束后，在同一招聘职位的面试合格人员中，根据考试总成绩（总成绩=综合能力测试成绩×30%+笔试成绩×30%+面试成绩×40%）从高分到低分按招聘岗位指标1:1的比例（比例内最后一个名次出现并列分的，面试成绩高者优先；若面试成绩也相同，综合能力测试成绩高者优先；若综合能力测试成绩也相同，则采用笔试形式加试，成绩高者优先；不足比例的按实际人数，下同）确定签约人员，并签订就业协议书。若有放弃签订就业协议书者，则在同一招聘职位的面试合格人员中按考试总成绩从高分到低分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2.签约时间和地点：</w:t>
      </w: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无技能测试的岗位</w:t>
      </w: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于2022年11月18日下午（具体时间网上公布）在金华市雏英教育进行；</w:t>
      </w: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需技能测试的岗位</w:t>
      </w: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于2022年11月26日下午在余姚市（具体时间地点网上公布）进行。签订就业协议书后，签约人员因体检、考察等环节不合格，则签订的就业协议自行解除。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b/>
          <w:bCs/>
          <w:i w:val="0"/>
          <w:iCs w:val="0"/>
          <w:caps w:val="0"/>
          <w:color w:val="555555"/>
          <w:spacing w:val="0"/>
          <w:sz w:val="21"/>
          <w:szCs w:val="21"/>
          <w:shd w:val="clear" w:fill="FFFFFF"/>
        </w:rPr>
        <w:t>（五）体检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i w:val="0"/>
          <w:iCs w:val="0"/>
          <w:caps w:val="0"/>
          <w:color w:val="555555"/>
          <w:spacing w:val="0"/>
          <w:sz w:val="21"/>
          <w:szCs w:val="21"/>
          <w:shd w:val="clear" w:fill="FFFFFF"/>
        </w:rPr>
        <w:t>对签约人员组织体检。因体检弃权或体检不合格而空缺的名额，可在同一招聘职位的面试合格人员中按考试总成绩从高分到低分依次递补（递补人员考试总成绩相同，则按上述确认签约人员办法确认递补人员），其他情况一律不予递补。体检标准参照《浙江省教师资格认定体检标准及操作规程》执行。体检时间、地点及有关事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b/>
          <w:bCs/>
          <w:i w:val="0"/>
          <w:iCs w:val="0"/>
          <w:caps w:val="0"/>
          <w:color w:val="555555"/>
          <w:spacing w:val="0"/>
          <w:sz w:val="21"/>
          <w:szCs w:val="21"/>
          <w:shd w:val="clear" w:fill="FFFFFF"/>
        </w:rPr>
        <w:t>（六）考察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i w:val="0"/>
          <w:iCs w:val="0"/>
          <w:caps w:val="0"/>
          <w:color w:val="555555"/>
          <w:spacing w:val="0"/>
          <w:sz w:val="21"/>
          <w:szCs w:val="21"/>
          <w:shd w:val="clear" w:fill="FFFFFF"/>
        </w:rPr>
        <w:t>对体检合格人员进行考察，考察按公务员录用考察工作相关规定执行，体检、考察实施前，国家或浙江省出台新规定的，原则上按新规定执行。考察结果仅作为本次招考是否录用的依据。考察不合格者淘汰，空缺名额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b/>
          <w:bCs/>
          <w:i w:val="0"/>
          <w:iCs w:val="0"/>
          <w:caps w:val="0"/>
          <w:color w:val="555555"/>
          <w:spacing w:val="0"/>
          <w:sz w:val="21"/>
          <w:szCs w:val="21"/>
          <w:shd w:val="clear" w:fill="FFFFFF"/>
        </w:rPr>
        <w:t>（七）聘用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i w:val="0"/>
          <w:iCs w:val="0"/>
          <w:caps w:val="0"/>
          <w:color w:val="555555"/>
          <w:spacing w:val="0"/>
          <w:sz w:val="21"/>
          <w:szCs w:val="21"/>
          <w:shd w:val="clear" w:fill="FFFFFF"/>
        </w:rPr>
        <w:t>1.考察合格者，为拟聘用对象，经公示无异议的，应聘者凭毕业证书，就业协议书和毕业派遣报到证，正式签约办理聘用手续。公示期间有异议的，经核实如不具备聘用条件的，取消聘用资格，空缺名额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i w:val="0"/>
          <w:iCs w:val="0"/>
          <w:caps w:val="0"/>
          <w:color w:val="555555"/>
          <w:spacing w:val="0"/>
          <w:sz w:val="21"/>
          <w:szCs w:val="21"/>
          <w:shd w:val="clear" w:fill="FFFFFF"/>
        </w:rPr>
        <w:t>2.拟聘用人员逾期不按规定报到的，或不能在2023年8月31日前取得规定学历等相关证书的，国（境）外留学毕业生不能在2023年9月30日前取得经中华人民共和国教育部认证的相关学历证书的，或拟聘用人员不服从教育局统一安排的，取消聘用资格，空缺名额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i w:val="0"/>
          <w:iCs w:val="0"/>
          <w:caps w:val="0"/>
          <w:color w:val="555555"/>
          <w:spacing w:val="0"/>
          <w:sz w:val="21"/>
          <w:szCs w:val="21"/>
          <w:shd w:val="clear" w:fill="FFFFFF"/>
        </w:rPr>
        <w:t>3.凡定向招聘的岗位有两个及以上定向学校的，拟聘用人员按考试总成绩由高分到低分，依次选择定向招聘学校。若同一招聘岗位拟聘用人员的考试总成绩相同，则抽签确定优先选择权。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i w:val="0"/>
          <w:iCs w:val="0"/>
          <w:caps w:val="0"/>
          <w:color w:val="555555"/>
          <w:spacing w:val="0"/>
          <w:sz w:val="21"/>
          <w:szCs w:val="21"/>
          <w:shd w:val="clear" w:fill="FFFFFF"/>
        </w:rPr>
        <w:t>4.新聘用的人员按有关规定实行事业单位人员聘用制度，并按规定实行见习期。无教师资格证书的聘用人员须在聘用起两年内取得相应的教师资格证书，届时仍未取得的解除聘用合同。见习期满不能胜任教育教学工作并经考核不合格的，取消聘用资格；能胜任教育教学工作并经考核合格的，予以正式任职定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i w:val="0"/>
          <w:iCs w:val="0"/>
          <w:caps w:val="0"/>
          <w:color w:val="555555"/>
          <w:spacing w:val="0"/>
          <w:sz w:val="21"/>
          <w:szCs w:val="21"/>
          <w:shd w:val="clear" w:fill="FFFFFF"/>
        </w:rPr>
        <w:t>5.新聘用人员的工资福利待遇按有关规定执行。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b/>
          <w:bCs/>
          <w:i w:val="0"/>
          <w:iCs w:val="0"/>
          <w:caps w:val="0"/>
          <w:color w:val="555555"/>
          <w:spacing w:val="0"/>
          <w:sz w:val="21"/>
          <w:szCs w:val="21"/>
          <w:shd w:val="clear" w:fill="FFFFFF"/>
        </w:rPr>
        <w:t>六、招聘对象相关说明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i w:val="0"/>
          <w:iCs w:val="0"/>
          <w:caps w:val="0"/>
          <w:color w:val="555555"/>
          <w:spacing w:val="0"/>
          <w:sz w:val="21"/>
          <w:szCs w:val="21"/>
          <w:shd w:val="clear" w:fill="FFFFFF"/>
        </w:rPr>
        <w:t>1.全国重点高校毕业生说明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i w:val="0"/>
          <w:iCs w:val="0"/>
          <w:caps w:val="0"/>
          <w:color w:val="555555"/>
          <w:spacing w:val="0"/>
          <w:sz w:val="21"/>
          <w:szCs w:val="21"/>
          <w:shd w:val="clear" w:fill="FFFFFF"/>
        </w:rPr>
        <w:t>全国重点高校毕业生指:建设“世界一流大学”高校毕业生，建设“世界一流学科”的该学科毕业生。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2.高考第一段录取说明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高考成绩达到浙江省普通类一段分数线的全日制普通高校应届本科毕业生。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3. 择业期说明：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择业期毕业生认定需同时满足以下要求：（1）未办理过毕业生派遣手续（报到证），未与用人单位签订劳动（聘用）合同，在社保系统中没有以单位名义参保的缴费记录；（2）持有毕业学校的就业推荐表、就业协议书，若遗失需要毕业学校出具相关证明；（3）个人档案应保管在毕业学校、人才市场或就业服务中心；（4）择业期对象为全日制普通高校毕业生，不包括国（境）外留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七、招聘期间新冠肺炎疫情防控说明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1.本次招聘所有工作环节都按考场所在地疫情防控需要采取相关防控措施，因疫情防控等原因无法参加考试的，视为缺考。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2.所有报考人员必须按当时当地的疫情防控政策进入考点。为保护考生和他人的生命安全和身体健康，根据新冠疫情防控需要，报考人员需提供7天内行程、健康码绿码、核酸阴性证明等材料。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进入考点的防疫要求:（1）近7天内无省外行程；（2）近7天内无中高风险地区旅居史；（3）持48小时内核酸阴性证明；（4）健康码绿码；（5）身体无感冒、发烧、咳嗽等症状；（6）无新冠肺炎相关人员（确诊病例、疑似病例、密切接触者）接触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3.报考人员应自备一次性医用外科口罩，并全程佩戴口罩。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    4.报考人员应当如实填写《报考人员健康申报表》（附件3），在入场前交给考务人员，并履行个人健康证明义务及防疫相关要求事项。凡隐瞒或谎报旅居史、接触史、健康状况等疫情防控重点信息的、不配合工作人员进行健康检疫、询问、查询、送诊等造成严重后果的，取消其相应资格，如有违法行为将依法追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5.请报考人员随时关注余姚市和金华市的疫情防控政策以及“余姚市教师招聘报名系统”公告栏发布的有关信息。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2"/>
        <w:jc w:val="both"/>
        <w:textAlignment w:val="center"/>
      </w:pPr>
      <w:r>
        <w:rPr>
          <w:rFonts w:hint="eastAsia" w:ascii="微软雅黑" w:hAnsi="微软雅黑" w:eastAsia="微软雅黑" w:cs="微软雅黑"/>
          <w:b/>
          <w:bCs/>
          <w:i w:val="0"/>
          <w:iCs w:val="0"/>
          <w:caps w:val="0"/>
          <w:color w:val="555555"/>
          <w:spacing w:val="0"/>
          <w:kern w:val="0"/>
          <w:sz w:val="24"/>
          <w:szCs w:val="24"/>
          <w:lang w:val="en-US" w:eastAsia="zh-CN" w:bidi="ar"/>
        </w:rPr>
        <w:t>八、本简章由余姚市教育局负责解释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sz w:val="21"/>
          <w:szCs w:val="21"/>
          <w:shd w:val="clear" w:fill="FFFFFF"/>
        </w:rPr>
        <w:t>咨询电话：（0574）62827665，62821526，62816978，62825615，62779906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sz w:val="21"/>
          <w:szCs w:val="21"/>
          <w:shd w:val="clear" w:fill="FFFFFF"/>
        </w:rPr>
        <w:t>技术咨询电话：（0574）62832362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sz w:val="21"/>
          <w:szCs w:val="21"/>
          <w:shd w:val="clear" w:fill="FFFFFF"/>
        </w:rPr>
        <w:t>监督电话：（0574）62778812，62831999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sz w:val="21"/>
          <w:szCs w:val="21"/>
          <w:shd w:val="clear" w:fill="FFFFFF"/>
        </w:rPr>
        <w:t>上述电话请在工作时间联系。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i w:val="0"/>
          <w:iCs w:val="0"/>
          <w:caps w:val="0"/>
          <w:color w:val="555555"/>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4"/>
        <w:jc w:val="both"/>
      </w:pPr>
      <w:r>
        <w:rPr>
          <w:rFonts w:hint="eastAsia" w:ascii="微软雅黑" w:hAnsi="微软雅黑" w:eastAsia="微软雅黑" w:cs="微软雅黑"/>
          <w:i w:val="0"/>
          <w:iCs w:val="0"/>
          <w:caps w:val="0"/>
          <w:color w:val="555555"/>
          <w:spacing w:val="0"/>
          <w:sz w:val="21"/>
          <w:szCs w:val="21"/>
          <w:shd w:val="clear" w:fill="FFFFFF"/>
        </w:rPr>
        <w:t>附件1：《余姚市面向2023年普通高校全日制应届毕业生招聘教师岗位计划表》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sz w:val="21"/>
          <w:szCs w:val="21"/>
          <w:shd w:val="clear" w:fill="FFFFFF"/>
        </w:rPr>
        <w:t>附件2：《余姚市面向2023年普通高校全日制应届毕业生招聘教师报名表》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sz w:val="21"/>
          <w:szCs w:val="21"/>
          <w:shd w:val="clear" w:fill="FFFFFF"/>
        </w:rPr>
        <w:t>附件3：《报考人员健康申报表》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right"/>
      </w:pPr>
      <w:r>
        <w:rPr>
          <w:rFonts w:hint="eastAsia" w:ascii="微软雅黑" w:hAnsi="微软雅黑" w:eastAsia="微软雅黑" w:cs="微软雅黑"/>
          <w:i w:val="0"/>
          <w:iCs w:val="0"/>
          <w:caps w:val="0"/>
          <w:color w:val="555555"/>
          <w:spacing w:val="0"/>
          <w:sz w:val="21"/>
          <w:szCs w:val="21"/>
          <w:shd w:val="clear" w:fill="FFFFFF"/>
        </w:rPr>
        <w:t>             余姚市教育局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pPr>
      <w:r>
        <w:rPr>
          <w:rFonts w:hint="eastAsia" w:ascii="微软雅黑" w:hAnsi="微软雅黑" w:eastAsia="微软雅黑" w:cs="微软雅黑"/>
          <w:i w:val="0"/>
          <w:iCs w:val="0"/>
          <w:caps w:val="0"/>
          <w:color w:val="555555"/>
          <w:spacing w:val="0"/>
          <w:kern w:val="0"/>
          <w:sz w:val="24"/>
          <w:szCs w:val="24"/>
          <w:lang w:val="en-US" w:eastAsia="zh-CN" w:bidi="ar"/>
        </w:rPr>
        <w:t>                      2022年11月2日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 </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20"/>
        <w:gridCol w:w="1419"/>
        <w:gridCol w:w="916"/>
        <w:gridCol w:w="586"/>
        <w:gridCol w:w="3074"/>
        <w:gridCol w:w="1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10425" w:type="dxa"/>
            <w:gridSpan w:val="6"/>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bCs/>
                <w:color w:val="666666"/>
                <w:kern w:val="0"/>
                <w:sz w:val="24"/>
                <w:szCs w:val="24"/>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10425" w:type="dxa"/>
            <w:gridSpan w:val="6"/>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color w:val="666666"/>
                <w:kern w:val="0"/>
                <w:sz w:val="24"/>
                <w:szCs w:val="24"/>
                <w:lang w:val="en-US" w:eastAsia="zh-CN" w:bidi="ar"/>
              </w:rPr>
              <w:t>余姚市面向2023年普通高校全日制应届毕业生招聘教师岗位计划表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序号</w:t>
            </w:r>
          </w:p>
        </w:tc>
        <w:tc>
          <w:tcPr>
            <w:tcW w:w="175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岗位</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岗位代码</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指标</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招聘学校和人数</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lang w:val="en-US" w:eastAsia="zh-CN" w:bidi="ar"/>
              </w:rPr>
              <w:t>高中语文定向</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DM01</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4</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浙江省余姚中学2人,余姚市梦麟中学1人,余姚市第七中学1人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lang w:val="en-US" w:eastAsia="zh-CN" w:bidi="ar"/>
              </w:rPr>
              <w:t>高中数学定向</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DM02</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3</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浙江省余姚中学1人,余姚市第七中学2人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3</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lang w:val="en-US" w:eastAsia="zh-CN" w:bidi="ar"/>
              </w:rPr>
              <w:t>高中英语定向</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DM03</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3</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浙江省余姚中学1人,余姚市梦麟中学2人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4</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lang w:val="en-US" w:eastAsia="zh-CN" w:bidi="ar"/>
              </w:rPr>
              <w:t>高中物理定向</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DM04</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4</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余姚市梦麟中学2人,余姚市第七中学2人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5</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lang w:val="en-US" w:eastAsia="zh-CN" w:bidi="ar"/>
              </w:rPr>
              <w:t>高中政治定向</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DM05</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3</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余姚市第七中学1人,余姚市技师学院(筹)1人,余姚市第八中学1人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6</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lang w:val="en-US" w:eastAsia="zh-CN" w:bidi="ar"/>
              </w:rPr>
              <w:t>高中音乐定向</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DM06</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余姚市第八中学1人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声乐方向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7</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shd w:val="clear" w:fill="FFFFFF"/>
                <w:lang w:val="en-US" w:eastAsia="zh-CN" w:bidi="ar"/>
              </w:rPr>
              <w:t>高中信息技术</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DM07</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余姚市梦麟中学1人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8</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shd w:val="clear" w:fill="FFFFFF"/>
                <w:lang w:val="en-US" w:eastAsia="zh-CN" w:bidi="ar"/>
              </w:rPr>
              <w:t>初中语文定向</w:t>
            </w:r>
            <w:r>
              <w:rPr>
                <w:rFonts w:hint="eastAsia" w:ascii="宋体" w:hAnsi="宋体" w:eastAsia="宋体" w:cs="宋体"/>
                <w:color w:val="666666"/>
                <w:kern w:val="0"/>
                <w:sz w:val="20"/>
                <w:szCs w:val="20"/>
                <w:shd w:val="clear" w:fill="FFFFFF"/>
                <w:lang w:val="en-US" w:eastAsia="zh-CN" w:bidi="ar"/>
              </w:rPr>
              <w:t>1</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DM08</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余姚市子陵教育集团世南校区1人,余姚市瑞云学校1人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9</w:t>
            </w:r>
          </w:p>
        </w:tc>
        <w:tc>
          <w:tcPr>
            <w:tcW w:w="175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lang w:val="en-US" w:eastAsia="zh-CN" w:bidi="ar"/>
              </w:rPr>
              <w:t>初中语文定向2</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DM09</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北京师范大学余姚实验学校1人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全日制研究生学历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10</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shd w:val="clear" w:fill="FFFFFF"/>
                <w:lang w:val="en-US" w:eastAsia="zh-CN" w:bidi="ar"/>
              </w:rPr>
              <w:t>初中数学定向</w:t>
            </w:r>
            <w:r>
              <w:rPr>
                <w:rFonts w:hint="eastAsia" w:ascii="宋体" w:hAnsi="宋体" w:eastAsia="宋体" w:cs="宋体"/>
                <w:color w:val="666666"/>
                <w:kern w:val="0"/>
                <w:sz w:val="20"/>
                <w:szCs w:val="20"/>
                <w:shd w:val="clear" w:fill="FFFFFF"/>
                <w:lang w:val="en-US" w:eastAsia="zh-CN" w:bidi="ar"/>
              </w:rPr>
              <w:t>1</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DM10</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3</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余姚市梨洲中学1人,余姚市舜水中学1人,余姚市陆埠镇初级中学1人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11</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shd w:val="clear" w:fill="FFFFFF"/>
                <w:lang w:val="en-US" w:eastAsia="zh-CN" w:bidi="ar"/>
              </w:rPr>
              <w:t>初中数学定向2</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DM11</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北京师范大学余姚实验学校1人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全日制研究生学历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12</w:t>
            </w:r>
          </w:p>
        </w:tc>
        <w:tc>
          <w:tcPr>
            <w:tcW w:w="175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font-size:10pt;" w:hAnsi="font-size:10pt;" w:eastAsia="font-size:10pt;" w:cs="font-size:10pt;"/>
                <w:color w:val="666666"/>
                <w:kern w:val="0"/>
                <w:sz w:val="24"/>
                <w:szCs w:val="24"/>
                <w:lang w:val="en-US" w:eastAsia="zh-CN" w:bidi="ar"/>
              </w:rPr>
              <w:t>初中英语定向</w:t>
            </w:r>
            <w:r>
              <w:rPr>
                <w:rFonts w:hint="eastAsia" w:ascii="宋体" w:hAnsi="宋体" w:eastAsia="宋体" w:cs="宋体"/>
                <w:color w:val="666666"/>
                <w:kern w:val="0"/>
                <w:sz w:val="20"/>
                <w:szCs w:val="20"/>
                <w:lang w:val="en-US" w:eastAsia="zh-CN" w:bidi="ar"/>
              </w:rPr>
              <w:t>1</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DM12</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4</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余姚市姚江中学1人,余姚市阳明中学1人,余姚市子陵教育集团世南校区1人,余姚市姚北实验学校1人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13</w:t>
            </w:r>
          </w:p>
        </w:tc>
        <w:tc>
          <w:tcPr>
            <w:tcW w:w="175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size:10pt;" w:hAnsi="font-size:10pt;" w:eastAsia="font-size:10pt;" w:cs="font-size:10pt;"/>
                <w:color w:val="666666"/>
                <w:kern w:val="0"/>
                <w:sz w:val="24"/>
                <w:szCs w:val="24"/>
                <w:lang w:val="en-US" w:eastAsia="zh-CN" w:bidi="ar"/>
              </w:rPr>
              <w:t>初中英语定向</w:t>
            </w:r>
            <w:r>
              <w:rPr>
                <w:rFonts w:hint="eastAsia" w:ascii="宋体" w:hAnsi="宋体" w:eastAsia="宋体" w:cs="宋体"/>
                <w:color w:val="666666"/>
                <w:kern w:val="0"/>
                <w:sz w:val="20"/>
                <w:szCs w:val="20"/>
                <w:lang w:val="en-US" w:eastAsia="zh-CN" w:bidi="ar"/>
              </w:rPr>
              <w:t>2</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DM13</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北京师范大学余姚实验学校1人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全日制研究生学历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14</w:t>
            </w:r>
          </w:p>
        </w:tc>
        <w:tc>
          <w:tcPr>
            <w:tcW w:w="175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size:10pt;" w:hAnsi="font-size:10pt;" w:eastAsia="font-size:10pt;" w:cs="font-size:10pt;"/>
                <w:color w:val="666666"/>
                <w:kern w:val="0"/>
                <w:sz w:val="24"/>
                <w:szCs w:val="24"/>
                <w:lang w:val="en-US" w:eastAsia="zh-CN" w:bidi="ar"/>
              </w:rPr>
              <w:t>初中历史与社会定向</w:t>
            </w:r>
            <w:r>
              <w:rPr>
                <w:rFonts w:hint="eastAsia" w:ascii="宋体" w:hAnsi="宋体" w:eastAsia="宋体" w:cs="宋体"/>
                <w:color w:val="666666"/>
                <w:kern w:val="0"/>
                <w:sz w:val="20"/>
                <w:szCs w:val="20"/>
                <w:lang w:val="en-US" w:eastAsia="zh-CN" w:bidi="ar"/>
              </w:rPr>
              <w:t>1</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DM14</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5</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余姚市姚江中学2人,余姚市子陵教育集团子陵校区1人,余姚市低塘初级中学1人,浙师大泗门附中1人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15</w:t>
            </w:r>
          </w:p>
        </w:tc>
        <w:tc>
          <w:tcPr>
            <w:tcW w:w="175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size:10pt;" w:hAnsi="font-size:10pt;" w:eastAsia="font-size:10pt;" w:cs="font-size:10pt;"/>
                <w:color w:val="666666"/>
                <w:kern w:val="0"/>
                <w:sz w:val="24"/>
                <w:szCs w:val="24"/>
                <w:lang w:val="en-US" w:eastAsia="zh-CN" w:bidi="ar"/>
              </w:rPr>
              <w:t>初中历史与社会定向</w:t>
            </w:r>
            <w:r>
              <w:rPr>
                <w:rFonts w:hint="eastAsia" w:ascii="宋体" w:hAnsi="宋体" w:eastAsia="宋体" w:cs="宋体"/>
                <w:color w:val="666666"/>
                <w:kern w:val="0"/>
                <w:sz w:val="20"/>
                <w:szCs w:val="20"/>
                <w:lang w:val="en-US" w:eastAsia="zh-CN" w:bidi="ar"/>
              </w:rPr>
              <w:t>2</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DM15</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北京师范大学余姚实验学校1人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全日制研究生学历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16</w:t>
            </w:r>
          </w:p>
        </w:tc>
        <w:tc>
          <w:tcPr>
            <w:tcW w:w="175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初中科学（物理）定向1</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DM16</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北京师范大学余姚实验学校1人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全日制研究生学历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17</w:t>
            </w:r>
          </w:p>
        </w:tc>
        <w:tc>
          <w:tcPr>
            <w:tcW w:w="175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初中科学（生物）定向2</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DM17</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北京师范大学余姚实验学校1人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全日制研究生学历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18</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lang w:val="en-US" w:eastAsia="zh-CN" w:bidi="ar"/>
              </w:rPr>
              <w:t>职高农业</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DM18</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余姚市第二职业技术学校1人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植保/园艺方向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19</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lang w:val="en-US" w:eastAsia="zh-CN" w:bidi="ar"/>
              </w:rPr>
              <w:t>职高机械设计</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DM19</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余姚市技师学院(筹)2人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20</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lang w:val="en-US" w:eastAsia="zh-CN" w:bidi="ar"/>
              </w:rPr>
              <w:t>职业教育研究</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DM20</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余姚市技师学院(筹)1人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21</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lang w:val="en-US" w:eastAsia="zh-CN" w:bidi="ar"/>
              </w:rPr>
              <w:t>职高工商企业管理</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DM21</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余姚市技师学院(筹)1人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22</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lang w:val="en-US" w:eastAsia="zh-CN" w:bidi="ar"/>
              </w:rPr>
              <w:t>职高跨境电商</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DM22</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余姚市技师学院(筹)1人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视觉传达方向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23</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lang w:val="en-US" w:eastAsia="zh-CN" w:bidi="ar"/>
              </w:rPr>
              <w:t>职高数字媒体</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DM23</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余姚市第四职业技术学校1人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24</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0"/>
                <w:szCs w:val="20"/>
                <w:lang w:val="en-US" w:eastAsia="zh-CN" w:bidi="ar"/>
              </w:rPr>
              <w:t>职高美术</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DM24</w:t>
            </w:r>
          </w:p>
        </w:tc>
        <w:tc>
          <w:tcPr>
            <w:tcW w:w="7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余姚市第五职业技术学校1人</w:t>
            </w:r>
          </w:p>
        </w:tc>
        <w:tc>
          <w:tcPr>
            <w:tcW w:w="21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平面设计方向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25</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小学语文定向1</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DM25</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6</w:t>
            </w:r>
          </w:p>
        </w:tc>
        <w:tc>
          <w:tcPr>
            <w:tcW w:w="394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余姚市第二实验小学1人，余姚市梨洲小学1人，余姚市丈亭镇中心小学1人，余姚市三七市镇中心小学1人，余姚市马渚镇中心小学1人，余姚市牟山镇中心小学1人</w:t>
            </w:r>
          </w:p>
        </w:tc>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26</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小学语文定向2</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DM26</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6</w:t>
            </w:r>
          </w:p>
        </w:tc>
        <w:tc>
          <w:tcPr>
            <w:tcW w:w="394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余姚市东风小学教育集团（梦麟校区）2人，余姚市低塘小学1人，余姚市姚北实验学校1人，余姚市朗霞小学1人，中意宁波生态园实验学校1人</w:t>
            </w:r>
          </w:p>
        </w:tc>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27</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小学语文定向3</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DM27</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7</w:t>
            </w:r>
          </w:p>
        </w:tc>
        <w:tc>
          <w:tcPr>
            <w:tcW w:w="394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余姚市姚江小学1人，余姚市长安小学1人，余姚市舜北小学1人，余姚市舜水小学1人，余姚市瑞云学校1人，余姚市小曹娥镇中心小学1人，余姚市临山镇中心小学1人</w:t>
            </w:r>
          </w:p>
        </w:tc>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28</w:t>
            </w:r>
          </w:p>
        </w:tc>
        <w:tc>
          <w:tcPr>
            <w:tcW w:w="175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小学语文定向4</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DM28</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4</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北京师范大学余姚实验学校4人</w:t>
            </w:r>
          </w:p>
        </w:tc>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29</w:t>
            </w:r>
          </w:p>
        </w:tc>
        <w:tc>
          <w:tcPr>
            <w:tcW w:w="175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小学数学定向1</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DM29</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6</w:t>
            </w:r>
          </w:p>
        </w:tc>
        <w:tc>
          <w:tcPr>
            <w:tcW w:w="394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余姚市第二实验小学1人，余姚市姚江小学1人，余姚市舜北小学1人，余姚市泗门镇中心小学1人，余姚市黄家埠镇中心小学1人，中意宁波生态园实验学校1人</w:t>
            </w:r>
          </w:p>
        </w:tc>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30</w:t>
            </w:r>
          </w:p>
        </w:tc>
        <w:tc>
          <w:tcPr>
            <w:tcW w:w="175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小学数学定向2</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DM30</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6</w:t>
            </w:r>
          </w:p>
        </w:tc>
        <w:tc>
          <w:tcPr>
            <w:tcW w:w="394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余姚市东风小学教育集团（梦麟校区）1人，余姚市低塘小学1人，余姚市姚北实验学校1人，余姚市陆埠镇中心小学1人，余姚市丈亭镇中心小学1人，余姚市河姆渡镇中心小学1人</w:t>
            </w:r>
          </w:p>
        </w:tc>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31</w:t>
            </w:r>
          </w:p>
        </w:tc>
        <w:tc>
          <w:tcPr>
            <w:tcW w:w="175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小学数学定向3</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DM31</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w:t>
            </w:r>
          </w:p>
        </w:tc>
        <w:tc>
          <w:tcPr>
            <w:tcW w:w="394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北京师范大学余姚实验学校2人</w:t>
            </w:r>
          </w:p>
        </w:tc>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32</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小学科学定向</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DM32</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4</w:t>
            </w:r>
          </w:p>
        </w:tc>
        <w:tc>
          <w:tcPr>
            <w:tcW w:w="394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余姚市第二实验小学1人，余姚市姚江小学1人，余姚市东风小学教育集团（梦麟校区）1人，余姚市泗门镇中心小学1人</w:t>
            </w:r>
          </w:p>
        </w:tc>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33</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小学信息技术定向</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DM33</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w:t>
            </w:r>
          </w:p>
        </w:tc>
        <w:tc>
          <w:tcPr>
            <w:tcW w:w="394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余姚市第二实验小学1人，余姚市东风小学教育集团（梦麟校区）1人</w:t>
            </w:r>
          </w:p>
        </w:tc>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34</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小学音乐定向1</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DM34</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4</w:t>
            </w:r>
          </w:p>
        </w:tc>
        <w:tc>
          <w:tcPr>
            <w:tcW w:w="394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余姚市第一实验小学1人，余姚市第二实验小学1人，余姚市姚江小学1人，余姚市东风小学教育集团（梦麟校区）1人</w:t>
            </w:r>
          </w:p>
        </w:tc>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器乐方向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35</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小学音乐定向2</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DM35</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394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余姚市兰江小学1人</w:t>
            </w:r>
          </w:p>
        </w:tc>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声乐方向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36</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小学体育定向</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DM36</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4</w:t>
            </w:r>
          </w:p>
        </w:tc>
        <w:tc>
          <w:tcPr>
            <w:tcW w:w="394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余姚市姚江小学1人，余姚市东风小学教育集团（梦麟校区）1人，余姚市长安小学1人，余姚市泗门镇中心小学1人</w:t>
            </w:r>
          </w:p>
        </w:tc>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37</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小学美术定向</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DM37</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3</w:t>
            </w:r>
          </w:p>
        </w:tc>
        <w:tc>
          <w:tcPr>
            <w:tcW w:w="394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余姚市姚江小学1人，余姚市东风小学教育集团（梦麟校区）1人，余姚市泗门镇中心小学1人</w:t>
            </w:r>
          </w:p>
        </w:tc>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38</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特殊教育定向</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DM38</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1</w:t>
            </w:r>
          </w:p>
        </w:tc>
        <w:tc>
          <w:tcPr>
            <w:tcW w:w="394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余姚市特殊教育中心1人</w:t>
            </w:r>
          </w:p>
        </w:tc>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39</w:t>
            </w:r>
          </w:p>
        </w:tc>
        <w:tc>
          <w:tcPr>
            <w:tcW w:w="17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学前教育统招</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DM39</w:t>
            </w:r>
          </w:p>
        </w:tc>
        <w:tc>
          <w:tcPr>
            <w:tcW w:w="7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w:t>
            </w:r>
          </w:p>
        </w:tc>
        <w:tc>
          <w:tcPr>
            <w:tcW w:w="394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21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750" w:type="dxa"/>
            <w:tcBorders>
              <w:top w:val="nil"/>
              <w:left w:val="nil"/>
              <w:bottom w:val="nil"/>
              <w:right w:val="nil"/>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 </w:t>
            </w:r>
          </w:p>
        </w:tc>
        <w:tc>
          <w:tcPr>
            <w:tcW w:w="1755" w:type="dxa"/>
            <w:tcBorders>
              <w:top w:val="nil"/>
              <w:left w:val="nil"/>
              <w:bottom w:val="nil"/>
              <w:right w:val="nil"/>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 </w:t>
            </w:r>
          </w:p>
        </w:tc>
        <w:tc>
          <w:tcPr>
            <w:tcW w:w="1080" w:type="dxa"/>
            <w:tcBorders>
              <w:top w:val="nil"/>
              <w:left w:val="nil"/>
              <w:bottom w:val="nil"/>
              <w:right w:val="nil"/>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 </w:t>
            </w:r>
          </w:p>
        </w:tc>
        <w:tc>
          <w:tcPr>
            <w:tcW w:w="705" w:type="dxa"/>
            <w:tcBorders>
              <w:top w:val="nil"/>
              <w:left w:val="nil"/>
              <w:bottom w:val="nil"/>
              <w:right w:val="nil"/>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 </w:t>
            </w:r>
          </w:p>
        </w:tc>
        <w:tc>
          <w:tcPr>
            <w:tcW w:w="3945" w:type="dxa"/>
            <w:tcBorders>
              <w:top w:val="nil"/>
              <w:left w:val="nil"/>
              <w:bottom w:val="nil"/>
              <w:right w:val="nil"/>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 </w:t>
            </w:r>
          </w:p>
        </w:tc>
        <w:tc>
          <w:tcPr>
            <w:tcW w:w="2160" w:type="dxa"/>
            <w:tcBorders>
              <w:top w:val="nil"/>
              <w:left w:val="nil"/>
              <w:bottom w:val="nil"/>
              <w:right w:val="nil"/>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p>
    <w:tbl>
      <w:tblPr>
        <w:tblStyle w:val="3"/>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68"/>
        <w:gridCol w:w="988"/>
        <w:gridCol w:w="902"/>
        <w:gridCol w:w="1257"/>
        <w:gridCol w:w="1126"/>
        <w:gridCol w:w="1031"/>
        <w:gridCol w:w="1412"/>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9540" w:type="dxa"/>
            <w:gridSpan w:val="8"/>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b/>
                <w:bCs/>
                <w:color w:val="666666"/>
                <w:kern w:val="0"/>
                <w:sz w:val="24"/>
                <w:szCs w:val="24"/>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9540" w:type="dxa"/>
            <w:gridSpan w:val="8"/>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99" w:right="0" w:firstLine="0"/>
              <w:jc w:val="center"/>
              <w:textAlignment w:val="center"/>
            </w:pPr>
            <w:r>
              <w:rPr>
                <w:rFonts w:hint="eastAsia" w:ascii="宋体" w:hAnsi="宋体" w:eastAsia="宋体" w:cs="宋体"/>
                <w:b/>
                <w:bCs/>
                <w:color w:val="666666"/>
                <w:kern w:val="0"/>
                <w:sz w:val="24"/>
                <w:szCs w:val="24"/>
                <w:lang w:val="en-US" w:eastAsia="zh-CN" w:bidi="ar"/>
              </w:rPr>
              <w:t>余姚市面向2023年普通高校全日制应届毕业生招聘教师报名表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姓名</w:t>
            </w:r>
          </w:p>
        </w:tc>
        <w:tc>
          <w:tcPr>
            <w:tcW w:w="117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性别</w:t>
            </w:r>
          </w:p>
        </w:tc>
        <w:tc>
          <w:tcPr>
            <w:tcW w:w="153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出生年月</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2115"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民族</w:t>
            </w:r>
          </w:p>
        </w:tc>
        <w:tc>
          <w:tcPr>
            <w:tcW w:w="117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籍贯</w:t>
            </w:r>
          </w:p>
        </w:tc>
        <w:tc>
          <w:tcPr>
            <w:tcW w:w="153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1275"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政治面貌</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211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身份证号码</w:t>
            </w:r>
          </w:p>
        </w:tc>
        <w:tc>
          <w:tcPr>
            <w:tcW w:w="3765"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联系手机</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211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家庭地址</w:t>
            </w:r>
          </w:p>
        </w:tc>
        <w:tc>
          <w:tcPr>
            <w:tcW w:w="3765"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家庭电话</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211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color w:val="666666"/>
                <w:kern w:val="0"/>
                <w:sz w:val="20"/>
                <w:szCs w:val="20"/>
                <w:lang w:val="en-US" w:eastAsia="zh-CN" w:bidi="ar"/>
              </w:rPr>
              <w:t>户籍所在地(2022年9月30日前)</w:t>
            </w:r>
          </w:p>
        </w:tc>
        <w:tc>
          <w:tcPr>
            <w:tcW w:w="3765"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 </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生源地</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211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1140"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考生类别</w:t>
            </w:r>
          </w:p>
        </w:tc>
        <w:tc>
          <w:tcPr>
            <w:tcW w:w="6270" w:type="dxa"/>
            <w:gridSpan w:val="5"/>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666666"/>
                <w:kern w:val="0"/>
                <w:sz w:val="20"/>
                <w:szCs w:val="20"/>
                <w:lang w:val="en-US" w:eastAsia="zh-CN" w:bidi="ar"/>
              </w:rPr>
              <w:t>2023年全日制普通高校应届毕业生（  ）</w:t>
            </w:r>
            <w:r>
              <w:rPr>
                <w:rFonts w:hint="eastAsia" w:ascii="宋体" w:hAnsi="宋体" w:eastAsia="宋体" w:cs="宋体"/>
                <w:color w:val="666666"/>
                <w:kern w:val="0"/>
                <w:sz w:val="20"/>
                <w:szCs w:val="20"/>
                <w:lang w:val="en-US" w:eastAsia="zh-CN" w:bidi="ar"/>
              </w:rPr>
              <w:br w:type="textWrapping"/>
            </w:r>
            <w:r>
              <w:rPr>
                <w:rFonts w:hint="eastAsia" w:ascii="宋体" w:hAnsi="宋体" w:eastAsia="宋体" w:cs="宋体"/>
                <w:color w:val="666666"/>
                <w:kern w:val="0"/>
                <w:sz w:val="20"/>
                <w:szCs w:val="20"/>
                <w:lang w:val="en-US" w:eastAsia="zh-CN" w:bidi="ar"/>
              </w:rPr>
              <w:t>未就业处于择业期的2021届全日制普通高校毕业生（  ）</w:t>
            </w:r>
            <w:r>
              <w:rPr>
                <w:rFonts w:hint="eastAsia" w:ascii="宋体" w:hAnsi="宋体" w:eastAsia="宋体" w:cs="宋体"/>
                <w:color w:val="666666"/>
                <w:kern w:val="0"/>
                <w:sz w:val="20"/>
                <w:szCs w:val="20"/>
                <w:lang w:val="en-US" w:eastAsia="zh-CN" w:bidi="ar"/>
              </w:rPr>
              <w:br w:type="textWrapping"/>
            </w:r>
            <w:r>
              <w:rPr>
                <w:rFonts w:hint="eastAsia" w:ascii="宋体" w:hAnsi="宋体" w:eastAsia="宋体" w:cs="宋体"/>
                <w:color w:val="666666"/>
                <w:kern w:val="0"/>
                <w:sz w:val="20"/>
                <w:szCs w:val="20"/>
                <w:lang w:val="en-US" w:eastAsia="zh-CN" w:bidi="ar"/>
              </w:rPr>
              <w:t>未就业处于择业期的2022届全日制普通高校毕业生（  ）</w:t>
            </w:r>
          </w:p>
        </w:tc>
        <w:tc>
          <w:tcPr>
            <w:tcW w:w="1425"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高考录取段次（或批次）</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1140" w:type="dxa"/>
            <w:vMerge w:val="restart"/>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毕业学校和专业</w:t>
            </w: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本科阶段</w:t>
            </w: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学校</w:t>
            </w:r>
          </w:p>
        </w:tc>
        <w:tc>
          <w:tcPr>
            <w:tcW w:w="4050"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666666"/>
                <w:kern w:val="0"/>
                <w:sz w:val="20"/>
                <w:szCs w:val="20"/>
                <w:lang w:val="en-US" w:eastAsia="zh-CN" w:bidi="ar"/>
              </w:rPr>
              <w:t>是否“世界一流大学建设”高校：（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1140" w:type="dxa"/>
            <w:vMerge w:val="continue"/>
            <w:tcBorders>
              <w:top w:val="nil"/>
              <w:left w:val="nil"/>
              <w:bottom w:val="nil"/>
              <w:right w:val="nil"/>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专业</w:t>
            </w:r>
          </w:p>
        </w:tc>
        <w:tc>
          <w:tcPr>
            <w:tcW w:w="153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color w:val="666666"/>
                <w:kern w:val="0"/>
                <w:sz w:val="20"/>
                <w:szCs w:val="20"/>
                <w:lang w:val="en-US" w:eastAsia="zh-CN" w:bidi="ar"/>
              </w:rPr>
              <w:t>专业成绩排名(名次/总人数)</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666666"/>
                <w:kern w:val="0"/>
                <w:sz w:val="20"/>
                <w:szCs w:val="20"/>
                <w:lang w:val="en-US" w:eastAsia="zh-CN" w:bidi="ar"/>
              </w:rPr>
              <w:t> </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666666"/>
                <w:kern w:val="0"/>
                <w:sz w:val="20"/>
                <w:szCs w:val="20"/>
                <w:lang w:val="en-US" w:eastAsia="zh-CN" w:bidi="ar"/>
              </w:rPr>
              <w:t>1.是否“世界一流学科建设”专业：（   ）</w:t>
            </w:r>
            <w:r>
              <w:rPr>
                <w:rFonts w:hint="eastAsia" w:ascii="宋体" w:hAnsi="宋体" w:eastAsia="宋体" w:cs="宋体"/>
                <w:color w:val="666666"/>
                <w:kern w:val="0"/>
                <w:sz w:val="20"/>
                <w:szCs w:val="20"/>
                <w:lang w:val="en-US" w:eastAsia="zh-CN" w:bidi="ar"/>
              </w:rPr>
              <w:br w:type="textWrapping"/>
            </w:r>
            <w:r>
              <w:rPr>
                <w:rFonts w:hint="eastAsia" w:ascii="宋体" w:hAnsi="宋体" w:eastAsia="宋体" w:cs="宋体"/>
                <w:color w:val="666666"/>
                <w:kern w:val="0"/>
                <w:sz w:val="20"/>
                <w:szCs w:val="20"/>
                <w:lang w:val="en-US" w:eastAsia="zh-CN" w:bidi="ar"/>
              </w:rPr>
              <w:t>2.是否师范类：（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1140" w:type="dxa"/>
            <w:vMerge w:val="continue"/>
            <w:tcBorders>
              <w:top w:val="nil"/>
              <w:left w:val="nil"/>
              <w:bottom w:val="nil"/>
              <w:right w:val="nil"/>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研究生阶段</w:t>
            </w: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学校</w:t>
            </w:r>
          </w:p>
        </w:tc>
        <w:tc>
          <w:tcPr>
            <w:tcW w:w="4050"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666666"/>
                <w:kern w:val="0"/>
                <w:sz w:val="20"/>
                <w:szCs w:val="20"/>
                <w:lang w:val="en-US" w:eastAsia="zh-CN" w:bidi="ar"/>
              </w:rPr>
              <w:t>是否“世界一流大学建设”高校：（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140" w:type="dxa"/>
            <w:vMerge w:val="continue"/>
            <w:tcBorders>
              <w:top w:val="nil"/>
              <w:left w:val="nil"/>
              <w:bottom w:val="nil"/>
              <w:right w:val="nil"/>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专业</w:t>
            </w:r>
          </w:p>
        </w:tc>
        <w:tc>
          <w:tcPr>
            <w:tcW w:w="153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color w:val="666666"/>
                <w:kern w:val="0"/>
                <w:sz w:val="20"/>
                <w:szCs w:val="20"/>
                <w:lang w:val="en-US" w:eastAsia="zh-CN" w:bidi="ar"/>
              </w:rPr>
              <w:t>专业成绩排名(名次/总人数)</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666666"/>
                <w:kern w:val="0"/>
                <w:sz w:val="20"/>
                <w:szCs w:val="20"/>
                <w:lang w:val="en-US" w:eastAsia="zh-CN" w:bidi="ar"/>
              </w:rPr>
              <w:t> </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666666"/>
                <w:kern w:val="0"/>
                <w:sz w:val="20"/>
                <w:szCs w:val="20"/>
                <w:lang w:val="en-US" w:eastAsia="zh-CN" w:bidi="ar"/>
              </w:rPr>
              <w:t>1.是否“世界一流学科建设”专业：（   ）</w:t>
            </w:r>
            <w:r>
              <w:rPr>
                <w:rFonts w:hint="eastAsia" w:ascii="宋体" w:hAnsi="宋体" w:eastAsia="宋体" w:cs="宋体"/>
                <w:color w:val="666666"/>
                <w:kern w:val="0"/>
                <w:sz w:val="20"/>
                <w:szCs w:val="20"/>
                <w:lang w:val="en-US" w:eastAsia="zh-CN" w:bidi="ar"/>
              </w:rPr>
              <w:br w:type="textWrapping"/>
            </w:r>
            <w:r>
              <w:rPr>
                <w:rFonts w:hint="eastAsia" w:ascii="宋体" w:hAnsi="宋体" w:eastAsia="宋体" w:cs="宋体"/>
                <w:color w:val="666666"/>
                <w:kern w:val="0"/>
                <w:sz w:val="20"/>
                <w:szCs w:val="20"/>
                <w:lang w:val="en-US" w:eastAsia="zh-CN" w:bidi="ar"/>
              </w:rPr>
              <w:t>2.是否教育类：（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140"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color w:val="666666"/>
                <w:kern w:val="0"/>
                <w:sz w:val="20"/>
                <w:szCs w:val="20"/>
                <w:lang w:val="en-US" w:eastAsia="zh-CN" w:bidi="ar"/>
              </w:rPr>
              <w:t>大学期间获奖情况</w:t>
            </w:r>
          </w:p>
        </w:tc>
        <w:tc>
          <w:tcPr>
            <w:tcW w:w="8385" w:type="dxa"/>
            <w:gridSpan w:val="7"/>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16"/>
                <w:szCs w:val="1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16"/>
                <w:szCs w:val="1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140"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证书等情况说明</w:t>
            </w:r>
          </w:p>
        </w:tc>
        <w:tc>
          <w:tcPr>
            <w:tcW w:w="222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教师资格证书</w:t>
            </w:r>
          </w:p>
        </w:tc>
        <w:tc>
          <w:tcPr>
            <w:tcW w:w="6165" w:type="dxa"/>
            <w:gridSpan w:val="5"/>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14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222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其他资格证书</w:t>
            </w:r>
          </w:p>
        </w:tc>
        <w:tc>
          <w:tcPr>
            <w:tcW w:w="6165" w:type="dxa"/>
            <w:gridSpan w:val="5"/>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14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222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普通话等级</w:t>
            </w:r>
          </w:p>
        </w:tc>
        <w:tc>
          <w:tcPr>
            <w:tcW w:w="153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16"/>
                <w:szCs w:val="16"/>
                <w:lang w:val="en-US" w:eastAsia="zh-CN" w:bidi="ar"/>
              </w:rPr>
              <w:t> </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计算机等级</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142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英语等级</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报考岗位</w:t>
            </w:r>
          </w:p>
        </w:tc>
        <w:tc>
          <w:tcPr>
            <w:tcW w:w="3765"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c>
          <w:tcPr>
            <w:tcW w:w="2505"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报考岗位代码</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本人简历</w:t>
            </w:r>
          </w:p>
        </w:tc>
        <w:tc>
          <w:tcPr>
            <w:tcW w:w="8385" w:type="dxa"/>
            <w:gridSpan w:val="7"/>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top"/>
            </w:pPr>
            <w:r>
              <w:rPr>
                <w:rFonts w:hint="eastAsia" w:ascii="宋体" w:hAnsi="宋体" w:eastAsia="宋体" w:cs="宋体"/>
                <w:color w:val="666666"/>
                <w:kern w:val="0"/>
                <w:sz w:val="20"/>
                <w:szCs w:val="20"/>
                <w:lang w:val="en-US" w:eastAsia="zh-CN" w:bidi="ar"/>
              </w:rPr>
              <w:t>（从高中阶段开始，年份连续填写，不能中断。）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诚信承诺</w:t>
            </w:r>
          </w:p>
        </w:tc>
        <w:tc>
          <w:tcPr>
            <w:tcW w:w="8385" w:type="dxa"/>
            <w:gridSpan w:val="7"/>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666666"/>
                <w:kern w:val="0"/>
                <w:sz w:val="20"/>
                <w:szCs w:val="20"/>
                <w:lang w:val="en-US" w:eastAsia="zh-CN" w:bidi="ar"/>
              </w:rPr>
              <w:t>本表填写情况及提供报名资料完全真实，如有作假，一经查实，自动放弃被录用资格。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666666"/>
                <w:kern w:val="0"/>
                <w:sz w:val="20"/>
                <w:szCs w:val="20"/>
                <w:lang w:val="en-US" w:eastAsia="zh-CN" w:bidi="ar"/>
              </w:rPr>
              <w:br w:type="textWrapping"/>
            </w:r>
            <w:r>
              <w:rPr>
                <w:rFonts w:hint="eastAsia" w:ascii="宋体" w:hAnsi="宋体" w:eastAsia="宋体" w:cs="宋体"/>
                <w:color w:val="666666"/>
                <w:kern w:val="0"/>
                <w:sz w:val="20"/>
                <w:szCs w:val="20"/>
                <w:lang w:val="en-US" w:eastAsia="zh-CN" w:bidi="ar"/>
              </w:rPr>
              <w:t>                              承诺人手写签名：               2022年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114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资格审查</w:t>
            </w:r>
            <w:r>
              <w:rPr>
                <w:rFonts w:hint="eastAsia" w:ascii="宋体" w:hAnsi="宋体" w:eastAsia="宋体" w:cs="宋体"/>
                <w:color w:val="666666"/>
                <w:kern w:val="0"/>
                <w:sz w:val="20"/>
                <w:szCs w:val="20"/>
                <w:lang w:val="en-US" w:eastAsia="zh-CN" w:bidi="ar"/>
              </w:rPr>
              <w:br w:type="textWrapping"/>
            </w:r>
            <w:r>
              <w:rPr>
                <w:rFonts w:hint="eastAsia" w:ascii="宋体" w:hAnsi="宋体" w:eastAsia="宋体" w:cs="宋体"/>
                <w:color w:val="666666"/>
                <w:kern w:val="0"/>
                <w:sz w:val="20"/>
                <w:szCs w:val="20"/>
                <w:lang w:val="en-US" w:eastAsia="zh-CN" w:bidi="ar"/>
              </w:rPr>
              <w:t>意见</w:t>
            </w:r>
          </w:p>
        </w:tc>
        <w:tc>
          <w:tcPr>
            <w:tcW w:w="8385" w:type="dxa"/>
            <w:gridSpan w:val="7"/>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666666"/>
                <w:kern w:val="0"/>
                <w:sz w:val="20"/>
                <w:szCs w:val="20"/>
                <w:lang w:val="en-US" w:eastAsia="zh-CN" w:bidi="ar"/>
              </w:rPr>
              <w:t>                   审查人签名：                   2022年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注：《报名表》要求通过“余姚市教师招聘报名系统”打印，为保证网页效果，建议在360浏览器极速模式下进入报名系统。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b/>
          <w:bCs/>
          <w:i w:val="0"/>
          <w:iCs w:val="0"/>
          <w:caps w:val="0"/>
          <w:color w:val="555555"/>
          <w:spacing w:val="0"/>
          <w:kern w:val="0"/>
          <w:sz w:val="24"/>
          <w:szCs w:val="24"/>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微软雅黑" w:hAnsi="微软雅黑" w:eastAsia="微软雅黑" w:cs="微软雅黑"/>
          <w:b/>
          <w:bCs/>
          <w:i w:val="0"/>
          <w:iCs w:val="0"/>
          <w:caps w:val="0"/>
          <w:color w:val="555555"/>
          <w:spacing w:val="0"/>
          <w:kern w:val="0"/>
          <w:sz w:val="24"/>
          <w:szCs w:val="24"/>
          <w:lang w:val="en-US" w:eastAsia="zh-CN" w:bidi="ar"/>
        </w:rPr>
        <w:t>报考人员健康申报表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pPr>
      <w:r>
        <w:rPr>
          <w:rFonts w:hint="eastAsia" w:ascii="微软雅黑" w:hAnsi="微软雅黑" w:eastAsia="微软雅黑" w:cs="微软雅黑"/>
          <w:i w:val="0"/>
          <w:iCs w:val="0"/>
          <w:caps w:val="0"/>
          <w:color w:val="555555"/>
          <w:spacing w:val="0"/>
          <w:kern w:val="0"/>
          <w:sz w:val="24"/>
          <w:szCs w:val="24"/>
          <w:lang w:val="en-US" w:eastAsia="zh-CN" w:bidi="ar"/>
        </w:rPr>
        <w:t>为有效管控新冠肺炎疫情，保障广大考生的安全和健康，请根据实际情况如实填写或打“√”：</w:t>
      </w:r>
    </w:p>
    <w:tbl>
      <w:tblPr>
        <w:tblStyle w:val="3"/>
        <w:tblW w:w="0" w:type="auto"/>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143"/>
        <w:gridCol w:w="2859"/>
        <w:gridCol w:w="1091"/>
        <w:gridCol w:w="1091"/>
        <w:gridCol w:w="1648"/>
        <w:gridCol w:w="66"/>
        <w:gridCol w:w="220"/>
        <w:gridCol w:w="4"/>
        <w:gridCol w:w="2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39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姓    名</w:t>
            </w:r>
          </w:p>
        </w:tc>
        <w:tc>
          <w:tcPr>
            <w:tcW w:w="23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 </w:t>
            </w:r>
          </w:p>
        </w:tc>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性别</w:t>
            </w:r>
          </w:p>
        </w:tc>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 </w:t>
            </w:r>
          </w:p>
        </w:tc>
        <w:tc>
          <w:tcPr>
            <w:tcW w:w="1440"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报考岗位</w:t>
            </w:r>
          </w:p>
        </w:tc>
        <w:tc>
          <w:tcPr>
            <w:tcW w:w="2715"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39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身份证号</w:t>
            </w:r>
          </w:p>
        </w:tc>
        <w:tc>
          <w:tcPr>
            <w:tcW w:w="7965" w:type="dxa"/>
            <w:gridSpan w:val="8"/>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39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户籍地址</w:t>
            </w:r>
          </w:p>
        </w:tc>
        <w:tc>
          <w:tcPr>
            <w:tcW w:w="7965" w:type="dxa"/>
            <w:gridSpan w:val="8"/>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39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近7天内居住地址</w:t>
            </w:r>
          </w:p>
        </w:tc>
        <w:tc>
          <w:tcPr>
            <w:tcW w:w="5055"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color w:val="666666"/>
                <w:kern w:val="0"/>
                <w:sz w:val="24"/>
                <w:szCs w:val="24"/>
                <w:lang w:val="en-US" w:eastAsia="zh-CN" w:bidi="ar"/>
              </w:rPr>
              <w:t> ① </w:t>
            </w:r>
            <w:r>
              <w:rPr>
                <w:rFonts w:hint="eastAsia" w:ascii="宋体" w:hAnsi="宋体" w:eastAsia="宋体" w:cs="宋体"/>
                <w:color w:val="666666"/>
                <w:kern w:val="0"/>
                <w:sz w:val="24"/>
                <w:szCs w:val="24"/>
                <w:u w:val="single"/>
                <w:lang w:val="en-US" w:eastAsia="zh-CN" w:bidi="ar"/>
              </w:rPr>
              <w:t>                         </w:t>
            </w:r>
            <w:r>
              <w:rPr>
                <w:rFonts w:hint="default" w:ascii="Times New Roman" w:hAnsi="Times New Roman" w:eastAsia="宋体" w:cs="Times New Roman"/>
                <w:color w:val="666666"/>
                <w:kern w:val="0"/>
                <w:sz w:val="24"/>
                <w:szCs w:val="24"/>
                <w:u w:val="singl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color w:val="666666"/>
                <w:kern w:val="0"/>
                <w:sz w:val="24"/>
                <w:szCs w:val="24"/>
                <w:lang w:val="en-US" w:eastAsia="zh-CN" w:bidi="ar"/>
              </w:rPr>
              <w:t> ② </w:t>
            </w:r>
            <w:r>
              <w:rPr>
                <w:rFonts w:hint="eastAsia" w:ascii="宋体" w:hAnsi="宋体" w:eastAsia="宋体" w:cs="宋体"/>
                <w:color w:val="666666"/>
                <w:kern w:val="0"/>
                <w:sz w:val="24"/>
                <w:szCs w:val="24"/>
                <w:u w:val="single"/>
                <w:lang w:val="en-US" w:eastAsia="zh-CN" w:bidi="ar"/>
              </w:rPr>
              <w:t>                               </w:t>
            </w:r>
            <w:r>
              <w:rPr>
                <w:rFonts w:hint="eastAsia" w:ascii="宋体" w:hAnsi="宋体" w:eastAsia="宋体" w:cs="宋体"/>
                <w:color w:val="666666"/>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color w:val="666666"/>
                <w:kern w:val="0"/>
                <w:sz w:val="24"/>
                <w:szCs w:val="24"/>
                <w:lang w:val="en-US" w:eastAsia="zh-CN" w:bidi="ar"/>
              </w:rPr>
              <w:t> ③ </w:t>
            </w:r>
            <w:r>
              <w:rPr>
                <w:rFonts w:hint="eastAsia" w:ascii="宋体" w:hAnsi="宋体" w:eastAsia="宋体" w:cs="宋体"/>
                <w:color w:val="666666"/>
                <w:kern w:val="0"/>
                <w:sz w:val="24"/>
                <w:szCs w:val="24"/>
                <w:u w:val="single"/>
                <w:lang w:val="en-US" w:eastAsia="zh-CN" w:bidi="ar"/>
              </w:rPr>
              <w:t>                   </w:t>
            </w:r>
            <w:r>
              <w:rPr>
                <w:rFonts w:hint="default" w:ascii="Times New Roman" w:hAnsi="Times New Roman" w:eastAsia="宋体" w:cs="Times New Roman"/>
                <w:color w:val="666666"/>
                <w:kern w:val="0"/>
                <w:sz w:val="24"/>
                <w:szCs w:val="24"/>
                <w:u w:val="single"/>
                <w:lang w:val="en-US" w:eastAsia="zh-CN" w:bidi="ar"/>
              </w:rPr>
              <w:t>            </w:t>
            </w:r>
          </w:p>
        </w:tc>
        <w:tc>
          <w:tcPr>
            <w:tcW w:w="1440"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4"/>
                <w:szCs w:val="24"/>
                <w:lang w:val="en-US" w:eastAsia="zh-CN" w:bidi="ar"/>
              </w:rPr>
              <w:t>考试当天自测体温温度</w:t>
            </w:r>
          </w:p>
        </w:tc>
        <w:tc>
          <w:tcPr>
            <w:tcW w:w="145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39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非浙江省内考生到达考点方式</w:t>
            </w:r>
          </w:p>
        </w:tc>
        <w:tc>
          <w:tcPr>
            <w:tcW w:w="7965" w:type="dxa"/>
            <w:gridSpan w:val="8"/>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default" w:ascii="Times New Roman" w:hAnsi="Times New Roman" w:eastAsia="宋体" w:cs="Times New Roman"/>
                <w:color w:val="666666"/>
                <w:kern w:val="0"/>
                <w:sz w:val="24"/>
                <w:szCs w:val="24"/>
                <w:lang w:val="en-US" w:eastAsia="zh-CN" w:bidi="ar"/>
              </w:rPr>
              <w:t> </w:t>
            </w:r>
            <w:r>
              <w:rPr>
                <w:rFonts w:hint="eastAsia" w:ascii="宋体" w:hAnsi="宋体" w:eastAsia="宋体" w:cs="宋体"/>
                <w:color w:val="666666"/>
                <w:kern w:val="0"/>
                <w:sz w:val="24"/>
                <w:szCs w:val="24"/>
                <w:lang w:val="en-US" w:eastAsia="zh-CN" w:bidi="ar"/>
              </w:rPr>
              <w:t>□火车  □飞机   □大巴车    □自驾   □其他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color w:val="666666"/>
                <w:kern w:val="0"/>
                <w:sz w:val="24"/>
                <w:szCs w:val="24"/>
                <w:lang w:val="en-US" w:eastAsia="zh-CN" w:bidi="ar"/>
              </w:rPr>
              <w:t>乘坐时间：</w:t>
            </w:r>
            <w:r>
              <w:rPr>
                <w:rFonts w:hint="eastAsia" w:ascii="宋体" w:hAnsi="宋体" w:eastAsia="宋体" w:cs="宋体"/>
                <w:color w:val="666666"/>
                <w:kern w:val="0"/>
                <w:sz w:val="24"/>
                <w:szCs w:val="24"/>
                <w:u w:val="single"/>
                <w:lang w:val="en-US" w:eastAsia="zh-CN" w:bidi="ar"/>
              </w:rPr>
              <w:t>       </w:t>
            </w:r>
            <w:r>
              <w:rPr>
                <w:rFonts w:hint="default" w:ascii="Times New Roman" w:hAnsi="Times New Roman" w:eastAsia="宋体" w:cs="Times New Roman"/>
                <w:color w:val="666666"/>
                <w:kern w:val="0"/>
                <w:sz w:val="24"/>
                <w:szCs w:val="24"/>
                <w:u w:val="single"/>
                <w:lang w:val="en-US" w:eastAsia="zh-CN" w:bidi="ar"/>
              </w:rPr>
              <w:t>                   </w:t>
            </w:r>
            <w:r>
              <w:rPr>
                <w:rFonts w:hint="eastAsia" w:ascii="宋体" w:hAnsi="宋体" w:eastAsia="宋体" w:cs="宋体"/>
                <w:color w:val="666666"/>
                <w:kern w:val="0"/>
                <w:sz w:val="24"/>
                <w:szCs w:val="24"/>
                <w:u w:val="single"/>
                <w:lang w:val="en-US" w:eastAsia="zh-CN" w:bidi="ar"/>
              </w:rPr>
              <w:t>       </w:t>
            </w:r>
            <w:r>
              <w:rPr>
                <w:rFonts w:hint="eastAsia" w:ascii="宋体" w:hAnsi="宋体" w:eastAsia="宋体" w:cs="宋体"/>
                <w:color w:val="666666"/>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color w:val="666666"/>
                <w:kern w:val="0"/>
                <w:sz w:val="24"/>
                <w:szCs w:val="24"/>
                <w:lang w:val="en-US" w:eastAsia="zh-CN" w:bidi="ar"/>
              </w:rPr>
              <w:t>车次/航班号：</w:t>
            </w:r>
            <w:r>
              <w:rPr>
                <w:rFonts w:hint="eastAsia" w:ascii="宋体" w:hAnsi="宋体" w:eastAsia="宋体" w:cs="宋体"/>
                <w:color w:val="666666"/>
                <w:kern w:val="0"/>
                <w:sz w:val="24"/>
                <w:szCs w:val="24"/>
                <w:u w:val="single"/>
                <w:lang w:val="en-US" w:eastAsia="zh-CN" w:bidi="ar"/>
              </w:rPr>
              <w:t>        </w:t>
            </w:r>
            <w:r>
              <w:rPr>
                <w:rFonts w:hint="default" w:ascii="Times New Roman" w:hAnsi="Times New Roman" w:eastAsia="宋体" w:cs="Times New Roman"/>
                <w:color w:val="666666"/>
                <w:kern w:val="0"/>
                <w:sz w:val="24"/>
                <w:szCs w:val="24"/>
                <w:u w:val="single"/>
                <w:lang w:val="en-US" w:eastAsia="zh-CN" w:bidi="ar"/>
              </w:rPr>
              <w:t>                </w:t>
            </w:r>
            <w:r>
              <w:rPr>
                <w:rFonts w:hint="eastAsia" w:ascii="宋体" w:hAnsi="宋体" w:eastAsia="宋体" w:cs="宋体"/>
                <w:color w:val="666666"/>
                <w:kern w:val="0"/>
                <w:sz w:val="24"/>
                <w:szCs w:val="24"/>
                <w:u w:val="single"/>
                <w:lang w:val="en-US" w:eastAsia="zh-CN" w:bidi="ar"/>
              </w:rPr>
              <w:t>      </w:t>
            </w:r>
            <w:r>
              <w:rPr>
                <w:rFonts w:hint="eastAsia" w:ascii="宋体" w:hAnsi="宋体" w:eastAsia="宋体" w:cs="宋体"/>
                <w:color w:val="666666"/>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color w:val="666666"/>
                <w:kern w:val="0"/>
                <w:sz w:val="24"/>
                <w:szCs w:val="24"/>
                <w:lang w:val="en-US" w:eastAsia="zh-CN" w:bidi="ar"/>
              </w:rPr>
              <w:t>座位号（车厢号）：</w:t>
            </w:r>
            <w:r>
              <w:rPr>
                <w:rFonts w:hint="eastAsia" w:ascii="宋体" w:hAnsi="宋体" w:eastAsia="宋体" w:cs="宋体"/>
                <w:color w:val="666666"/>
                <w:kern w:val="0"/>
                <w:sz w:val="24"/>
                <w:szCs w:val="24"/>
                <w:u w:val="single"/>
                <w:lang w:val="en-US" w:eastAsia="zh-CN" w:bidi="ar"/>
              </w:rPr>
              <w:t>       </w:t>
            </w:r>
            <w:r>
              <w:rPr>
                <w:rFonts w:hint="default" w:ascii="Times New Roman" w:hAnsi="Times New Roman" w:eastAsia="宋体" w:cs="Times New Roman"/>
                <w:color w:val="666666"/>
                <w:kern w:val="0"/>
                <w:sz w:val="24"/>
                <w:szCs w:val="24"/>
                <w:u w:val="single"/>
                <w:lang w:val="en-US" w:eastAsia="zh-CN" w:bidi="ar"/>
              </w:rPr>
              <w:t>            </w:t>
            </w:r>
            <w:r>
              <w:rPr>
                <w:rFonts w:hint="eastAsia" w:ascii="宋体" w:hAnsi="宋体" w:eastAsia="宋体" w:cs="宋体"/>
                <w:color w:val="666666"/>
                <w:kern w:val="0"/>
                <w:sz w:val="24"/>
                <w:szCs w:val="24"/>
                <w:u w:val="single"/>
                <w:lang w:val="en-US" w:eastAsia="zh-CN" w:bidi="ar"/>
              </w:rPr>
              <w:t>       </w:t>
            </w:r>
            <w:r>
              <w:rPr>
                <w:rFonts w:hint="eastAsia" w:ascii="宋体" w:hAnsi="宋体" w:eastAsia="宋体" w:cs="宋体"/>
                <w:color w:val="666666"/>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6645" w:type="dxa"/>
            <w:gridSpan w:val="6"/>
            <w:vMerge w:val="restar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lang w:val="en-US" w:eastAsia="zh-CN" w:bidi="ar"/>
              </w:rPr>
              <w:t>一、考前7天内本人是否有浙江省外</w:t>
            </w:r>
            <w:r>
              <w:rPr>
                <w:rFonts w:hint="default" w:ascii="Times New Roman" w:hAnsi="Times New Roman" w:eastAsia="微软雅黑" w:cs="Times New Roman"/>
                <w:color w:val="666666"/>
                <w:kern w:val="0"/>
                <w:sz w:val="24"/>
                <w:szCs w:val="24"/>
                <w:lang w:val="en-US" w:eastAsia="zh-CN" w:bidi="ar"/>
              </w:rPr>
              <w:t>旅居史</w:t>
            </w:r>
          </w:p>
        </w:tc>
        <w:tc>
          <w:tcPr>
            <w:tcW w:w="14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是</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645" w:type="dxa"/>
            <w:gridSpan w:val="6"/>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4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 </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645" w:type="dxa"/>
            <w:gridSpan w:val="6"/>
            <w:vMerge w:val="restar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lang w:val="en-US" w:eastAsia="zh-CN" w:bidi="ar"/>
              </w:rPr>
              <w:t>二、</w:t>
            </w:r>
            <w:r>
              <w:rPr>
                <w:rFonts w:hint="default" w:ascii="Times New Roman" w:hAnsi="Times New Roman" w:eastAsia="微软雅黑" w:cs="Times New Roman"/>
                <w:color w:val="666666"/>
                <w:kern w:val="0"/>
                <w:sz w:val="24"/>
                <w:szCs w:val="24"/>
                <w:lang w:val="en-US" w:eastAsia="zh-CN" w:bidi="ar"/>
              </w:rPr>
              <w:t>考前7天内是否有</w:t>
            </w:r>
            <w:r>
              <w:rPr>
                <w:rFonts w:hint="eastAsia" w:ascii="宋体" w:hAnsi="宋体" w:eastAsia="宋体" w:cs="宋体"/>
                <w:color w:val="666666"/>
                <w:kern w:val="0"/>
                <w:sz w:val="24"/>
                <w:szCs w:val="24"/>
                <w:lang w:val="en-US" w:eastAsia="zh-CN" w:bidi="ar"/>
              </w:rPr>
              <w:t>中高风险地区旅居史</w:t>
            </w:r>
          </w:p>
        </w:tc>
        <w:tc>
          <w:tcPr>
            <w:tcW w:w="14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是</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645" w:type="dxa"/>
            <w:gridSpan w:val="6"/>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4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 </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645" w:type="dxa"/>
            <w:gridSpan w:val="6"/>
            <w:vMerge w:val="restar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lang w:val="en-US" w:eastAsia="zh-CN" w:bidi="ar"/>
              </w:rPr>
              <w:t>三、 本人“健康码”是否是绿码</w:t>
            </w:r>
          </w:p>
        </w:tc>
        <w:tc>
          <w:tcPr>
            <w:tcW w:w="14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是</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645" w:type="dxa"/>
            <w:gridSpan w:val="6"/>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4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 </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645" w:type="dxa"/>
            <w:gridSpan w:val="6"/>
            <w:vMerge w:val="restar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4"/>
                <w:szCs w:val="24"/>
                <w:lang w:val="en-US" w:eastAsia="zh-CN" w:bidi="ar"/>
              </w:rPr>
              <w:t>四、考试当天是否有48小时核酸阴性证明</w:t>
            </w:r>
          </w:p>
        </w:tc>
        <w:tc>
          <w:tcPr>
            <w:tcW w:w="14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是</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645" w:type="dxa"/>
            <w:gridSpan w:val="6"/>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4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 </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645" w:type="dxa"/>
            <w:gridSpan w:val="6"/>
            <w:vMerge w:val="restar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4"/>
                <w:szCs w:val="24"/>
                <w:lang w:val="en-US" w:eastAsia="zh-CN" w:bidi="ar"/>
              </w:rPr>
              <w:t>五、身体是否有感冒、发烧、咳嗽等症状</w:t>
            </w:r>
          </w:p>
        </w:tc>
        <w:tc>
          <w:tcPr>
            <w:tcW w:w="14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是</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645" w:type="dxa"/>
            <w:gridSpan w:val="6"/>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4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 </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645" w:type="dxa"/>
            <w:gridSpan w:val="6"/>
            <w:vMerge w:val="restar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4"/>
                <w:szCs w:val="24"/>
                <w:lang w:val="en-US" w:eastAsia="zh-CN" w:bidi="ar"/>
              </w:rPr>
              <w:t>六、是否与新冠肺炎相关人员（确诊病例、疑似病例、密切接触者）接触史</w:t>
            </w:r>
          </w:p>
        </w:tc>
        <w:tc>
          <w:tcPr>
            <w:tcW w:w="14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是</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645" w:type="dxa"/>
            <w:gridSpan w:val="6"/>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4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 </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2"/>
        <w:jc w:val="both"/>
      </w:pPr>
      <w:r>
        <w:rPr>
          <w:rFonts w:hint="eastAsia" w:ascii="微软雅黑" w:hAnsi="微软雅黑" w:eastAsia="微软雅黑" w:cs="微软雅黑"/>
          <w:b/>
          <w:bCs/>
          <w:i w:val="0"/>
          <w:iCs w:val="0"/>
          <w:caps w:val="0"/>
          <w:color w:val="555555"/>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2"/>
        <w:jc w:val="both"/>
      </w:pPr>
      <w:r>
        <w:rPr>
          <w:rFonts w:hint="eastAsia" w:ascii="微软雅黑" w:hAnsi="微软雅黑" w:eastAsia="微软雅黑" w:cs="微软雅黑"/>
          <w:b/>
          <w:bCs/>
          <w:i w:val="0"/>
          <w:iCs w:val="0"/>
          <w:caps w:val="0"/>
          <w:color w:val="555555"/>
          <w:spacing w:val="0"/>
          <w:kern w:val="0"/>
          <w:sz w:val="24"/>
          <w:szCs w:val="24"/>
          <w:lang w:val="en-US" w:eastAsia="zh-CN" w:bidi="ar"/>
        </w:rPr>
        <w:t>注：1.中高风险地区以卫健部门最新公布为准。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964"/>
        <w:jc w:val="both"/>
      </w:pPr>
      <w:r>
        <w:rPr>
          <w:rFonts w:hint="eastAsia" w:ascii="微软雅黑" w:hAnsi="微软雅黑" w:eastAsia="微软雅黑" w:cs="微软雅黑"/>
          <w:b/>
          <w:bCs/>
          <w:i w:val="0"/>
          <w:iCs w:val="0"/>
          <w:caps w:val="0"/>
          <w:color w:val="555555"/>
          <w:spacing w:val="0"/>
          <w:kern w:val="0"/>
          <w:sz w:val="24"/>
          <w:szCs w:val="24"/>
          <w:lang w:val="en-US" w:eastAsia="zh-CN" w:bidi="ar"/>
        </w:rPr>
        <w:t>2.此表在考试当天进入考区前上交考务工作人员。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b/>
          <w:bCs/>
          <w:i w:val="0"/>
          <w:iCs w:val="0"/>
          <w:caps w:val="0"/>
          <w:color w:val="555555"/>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b/>
          <w:bCs/>
          <w:i w:val="0"/>
          <w:iCs w:val="0"/>
          <w:caps w:val="0"/>
          <w:color w:val="555555"/>
          <w:spacing w:val="0"/>
          <w:kern w:val="0"/>
          <w:sz w:val="24"/>
          <w:szCs w:val="24"/>
          <w:lang w:val="en-US" w:eastAsia="zh-CN" w:bidi="ar"/>
        </w:rPr>
        <w:t>我承诺：以上情况属实，无弄虚作假，瞒报，漏报。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手机号：                            考生签名（手写）：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pPr>
      <w:r>
        <w:rPr>
          <w:rFonts w:hint="eastAsia" w:ascii="微软雅黑" w:hAnsi="微软雅黑" w:eastAsia="微软雅黑" w:cs="微软雅黑"/>
          <w:i w:val="0"/>
          <w:iCs w:val="0"/>
          <w:caps w:val="0"/>
          <w:color w:val="555555"/>
          <w:spacing w:val="0"/>
          <w:sz w:val="21"/>
          <w:szCs w:val="21"/>
        </w:rPr>
        <w:t>                                        余姚市教育局</w:t>
      </w:r>
    </w:p>
    <w:p>
      <w:pPr>
        <w:rPr>
          <w:rFonts w:hint="eastAsia" w:ascii="微软雅黑" w:hAnsi="微软雅黑" w:eastAsia="微软雅黑" w:cs="微软雅黑"/>
          <w:b/>
          <w:bCs/>
          <w:i w:val="0"/>
          <w:iCs w:val="0"/>
          <w:caps w:val="0"/>
          <w:color w:val="666666"/>
          <w:spacing w:val="0"/>
          <w:kern w:val="0"/>
          <w:sz w:val="27"/>
          <w:szCs w:val="27"/>
          <w:lang w:val="en-US" w:eastAsia="zh-CN" w:bidi="ar"/>
        </w:rPr>
      </w:pPr>
      <w:r>
        <w:rPr>
          <w:rFonts w:hint="eastAsia" w:ascii="微软雅黑" w:hAnsi="微软雅黑" w:eastAsia="微软雅黑" w:cs="微软雅黑"/>
          <w:i w:val="0"/>
          <w:iCs w:val="0"/>
          <w:caps w:val="0"/>
          <w:color w:val="555555"/>
          <w:spacing w:val="0"/>
          <w:kern w:val="0"/>
          <w:sz w:val="24"/>
          <w:szCs w:val="24"/>
          <w:lang w:val="en-US" w:eastAsia="zh-CN" w:bidi="ar"/>
        </w:rPr>
        <w:t>                                      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font-size:10p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MTI0YTlhM2ZiYWNlN2U4MTI2ZmNiOGJjYjIzNGUifQ=="/>
  </w:docVars>
  <w:rsids>
    <w:rsidRoot w:val="13086408"/>
    <w:rsid w:val="13086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2022-11-03T13:11:00Z</dcterms:created>
  <dc:creator>Administrator</dc:creator>
  <cp:lastModifiedBy>Administrator</cp:lastModifiedBy>
  <dcterms:modified xsi:type="dcterms:W3CDTF">2022-11-03T13:29:43Z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318F58DAEBE54894893D6BBEDB49DCFD</vt:lpwstr>
  </property>
</Properties>
</file>