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ˎ̥" w:hAnsi="ˎ̥" w:cs="Arial"/>
          <w:b/>
          <w:bCs/>
          <w:color w:val="000000"/>
          <w:sz w:val="24"/>
          <w:szCs w:val="24"/>
          <w:lang w:val="en-US" w:eastAsia="zh-CN"/>
        </w:rPr>
      </w:pPr>
      <w:r>
        <w:rPr>
          <w:rFonts w:hint="eastAsia" w:ascii="ˎ̥" w:hAnsi="ˎ̥" w:cs="Arial"/>
          <w:b/>
          <w:bCs/>
          <w:color w:val="000000"/>
          <w:sz w:val="24"/>
          <w:szCs w:val="24"/>
          <w:lang w:val="en-US" w:eastAsia="zh-CN"/>
        </w:rPr>
        <w:t>附件3.</w:t>
      </w:r>
    </w:p>
    <w:p>
      <w:pPr>
        <w:jc w:val="center"/>
        <w:rPr>
          <w:rFonts w:hint="eastAsia" w:ascii="ˎ̥" w:hAnsi="ˎ̥" w:cs="Arial"/>
          <w:b/>
          <w:bCs/>
          <w:color w:val="000000"/>
          <w:sz w:val="36"/>
          <w:szCs w:val="36"/>
        </w:rPr>
      </w:pPr>
      <w:r>
        <w:rPr>
          <w:rFonts w:ascii="ˎ̥" w:hAnsi="ˎ̥" w:cs="Arial"/>
          <w:b/>
          <w:bCs/>
          <w:color w:val="000000"/>
          <w:sz w:val="36"/>
          <w:szCs w:val="36"/>
        </w:rPr>
        <w:t>事业单位公开招聘违纪违规行为处理规定</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中华人民共和国人力资源和社会保障部令</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第35号</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w:t>
      </w:r>
      <w:bookmarkStart w:id="0" w:name="_GoBack"/>
      <w:bookmarkEnd w:id="0"/>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《事业单位公开招聘违纪违规行为处理规定》已经2017年9月25日人力资源社会保障部第135次部务会审议通过，现予公布，自2018年1月1日起施行。</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部长 尹蔚民</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2017年10月9日</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事业单位公开招聘违纪违规行为处理规定</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第一章     总  则</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第一条  为加强事业单位公开招聘工作管理，规范公开招聘违纪违规行为的认定与处理，保证招聘工作公开、公平、公正，根据《事业单位人事管理条例》等有关规定，制定本规定。</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　　第二条  事业单位公开招聘中违纪违规行为的认定与处理，适用本规定。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第三条  认定与处理公开招聘违纪违规行为，应当事实清楚、证据确凿、程序规范、适用规定准确。</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第四条  中央事业单位人事综合管理部门负责全国事业单位公开招聘工作的综合管理与监督。</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各级事业单位人事综合管理部门、事业单位主管部门、招聘单位按照事业单位公开招聘管理权限，依据本规定对公开招聘违纪违规行为进行认定与处理。</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第二章    应聘人员违纪违规行为处理</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第五条  应聘人员在报名过程中有下列违纪违规行为之一的，取消其本次应聘资格：</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（一）伪造、涂改证件、证明等报名材料，或者以其他不正当手段获取应聘资格的；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（二）提供的涉及报考资格的申请材料或者信息不实，且影响报名审核结果的；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（三）其他应当取消其本次应聘资格的违纪违规行为。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第六条  应聘人员在考试过程中有下列违纪违规行为之一的，给予其当次该科目考试成绩无效的处理：</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（一）携带规定以外的物品进入考场且未按要求放在指定位置，经提醒仍不改正的；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（二）未在规定座位参加考试，或者未经考试工作人员允许擅自离开座位或者考场，经提醒仍不改正的；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（三）经提醒仍不按规定填写、填涂本人信息的；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（四）在试卷、答题纸、答题卡规定以外位置标注本人信息或者其他特殊标记的；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（五）在考试开始信号发出前答题，或者在考试结束信号发出后继续答题，经提醒仍不停止的；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（六）将试卷、答题卡、答题纸带出考场，或者故意损坏试卷、答题卡、答题纸及考试相关设施设备的；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（七）其他应当给予当次该科目考试成绩无效处理的违纪违规行为。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第七条  应聘人员在考试过程中有下列严重违纪违规行为之一的，给予其当次全部科目考试成绩无效的处理，并将其违纪违规行为记入事业单位公开招聘应聘人员诚信档案库，记录期限为五年：</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（一）抄袭、协助他人抄袭的；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（二）互相传递试卷、答题纸、答题卡、草稿纸等的；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（三）持伪造证件参加考试的；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（四）使用禁止带入考场的通讯工具、规定以外的电子用品的；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（五）本人离开考场后，在本场考试结束前，传播考试试题及答案的；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（六）其他应当给予当次全部科目考试成绩无效处理并记入事业单位公开招聘应聘人员诚信档案库的严重违纪违规行为。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第八条  应聘人员有下列特别严重违纪违规行为之一的，给予其当次全部科目考试成绩无效的处理，并将其违纪违规行为记入事业单位公开招聘应聘人员诚信档案库，长期记录：</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（一）串通作弊或者参与有组织作弊的；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（二）代替他人或者让他人代替自己参加考试的；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（三）其他应当给予当次全部科目考试成绩无效处理并记入事业单位公开招聘应聘人员诚信档案库的特别严重的违纪违规行为。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（一）故意扰乱考点、考场以及其他招聘工作场所秩序的；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（二）拒绝、妨碍工作人员履行管理职责的；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（三）威胁、侮辱、诽谤、诬陷工作人员或者其他应聘人员的；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（四）其他扰乱招聘工作秩序的违纪违规行为。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应聘人员之间同一科目作答内容雷同，并有其他相关证据证明其违纪违规行为成立的，视具体情形按照本规定第七条、第八条处理。</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第三章   招聘单位和招聘工作人员违纪违规行为处理</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第十五条  招聘单位在公开招聘中有下列行为之一的，事业单位主管部门或者事业单位人事综合管理部门应当责令限期改正；逾期不改正的，对直接负责的主管人员和其他直接责任人员依法给予处分：</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（一）未按规定权限和程序核准（备案）招聘方案，擅自组织公开招聘的；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（二）设置与岗位无关的指向性或者限制性条件的；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（三）未按规定发布招聘公告的；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（四）招聘公告发布后，擅自变更招聘程序、岗位条件、招聘人数、考试考察方式等的；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（五）未按招聘条件进行资格审查的；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（六）未按规定组织体检的；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（七）未按规定公示拟聘用人员名单的；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（八）其他应当责令改正的违纪违规行为。</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 第十六条  招聘工作人员有下列行为之一的，由相关部门给予处分，并停止其继续参加当年及下一年度招聘工作：</w:t>
      </w:r>
    </w:p>
    <w:p>
      <w:pPr>
        <w:widowControl/>
        <w:spacing w:line="360" w:lineRule="auto"/>
        <w:ind w:firstLine="480" w:firstLineChars="200"/>
        <w:jc w:val="left"/>
        <w:rPr>
          <w:rFonts w:ascii="宋体" w:hAnsi="宋体" w:eastAsia="宋体" w:cs="宋体"/>
          <w:color w:val="000000"/>
          <w:kern w:val="0"/>
          <w:sz w:val="24"/>
          <w:szCs w:val="24"/>
        </w:rPr>
      </w:pPr>
      <w:r>
        <w:rPr>
          <w:rFonts w:ascii="宋体" w:hAnsi="宋体" w:eastAsia="宋体" w:cs="宋体"/>
          <w:color w:val="000000"/>
          <w:kern w:val="0"/>
          <w:sz w:val="24"/>
          <w:szCs w:val="24"/>
        </w:rPr>
        <w:t>（一）擅自提前考试开始时间、推迟考试结束时间及缩短考试时间的；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（二）擅自为应聘人员调换考场或者座位的；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（三）未准确记录考场情况及违纪违规行为，并造成一定影响的；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（四）未执行回避制度的；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（五）其他一般违纪违规行为。</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　　第十七条  招聘工作人员有下列行为之一的，由相关部门给予处分，并将其调离招聘工作岗位，不得再从事招聘工作；构成犯罪的，依法追究刑事责任：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（一）指使、纵容他人作弊，或者在考试、考察、体检过程中参与作弊的；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（二）在保密期限内，泄露考试试题、面试评分要素等应当保密的信息的；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（三）擅自更改考试评分标准或者不按评分标准进行评卷的；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（四）监管不严，导致考场出现大面积作弊现象的；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（五）玩忽职守，造成不良影响的；</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（六）其他严重违纪违规行为。</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第四章    处理程序</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对应聘人员违纪违规行为作出处理决定的，应当制作公开招聘违纪违规行为处理决定书，依法送达被处理的应聘人员。</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第二十条  应聘人员对处理决定不服的，可以依法申请行政复议或者提起行政诉讼。</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第二十一条  参与公开招聘的工作人员对因违纪违规行为受到处分不服的，可以依法申请复核或者提出申诉。</w:t>
      </w:r>
    </w:p>
    <w:p>
      <w:pPr>
        <w:widowControl/>
        <w:spacing w:line="36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 xml:space="preserve">第五章       附    则  </w:t>
      </w:r>
    </w:p>
    <w:p>
      <w:pPr>
        <w:widowControl/>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rPr>
        <w:t>　　第二十二条   本规定自2018年1月1日起施行。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5344"/>
      <w:docPartObj>
        <w:docPartGallery w:val="autotext"/>
      </w:docPartObj>
    </w:sdtPr>
    <w:sdtEndPr>
      <w:rPr>
        <w:sz w:val="24"/>
        <w:szCs w:val="24"/>
      </w:rPr>
    </w:sdtEndPr>
    <w:sdtContent>
      <w:p>
        <w:pPr>
          <w:pStyle w:val="2"/>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2ZjdmNDY2MzkzNjI2MDkyYjI4ZjhhY2E4ZGUzZjMifQ=="/>
  </w:docVars>
  <w:rsids>
    <w:rsidRoot w:val="00570785"/>
    <w:rsid w:val="000E0767"/>
    <w:rsid w:val="001C4C0D"/>
    <w:rsid w:val="00397A2C"/>
    <w:rsid w:val="003C2B63"/>
    <w:rsid w:val="003E6AE6"/>
    <w:rsid w:val="00570785"/>
    <w:rsid w:val="00671644"/>
    <w:rsid w:val="62ED51F9"/>
    <w:rsid w:val="69CC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3180</Words>
  <Characters>3198</Characters>
  <Lines>25</Lines>
  <Paragraphs>7</Paragraphs>
  <TotalTime>2</TotalTime>
  <ScaleCrop>false</ScaleCrop>
  <LinksUpToDate>false</LinksUpToDate>
  <CharactersWithSpaces>3573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2017-11-07T00:51:00Z</dcterms:created>
  <dc:creator>Administrator</dc:creator>
  <cp:lastModifiedBy>何</cp:lastModifiedBy>
  <cp:lastPrinted>2018-01-15T06:32:00Z</cp:lastPrinted>
  <dcterms:modified xsi:type="dcterms:W3CDTF">2022-05-18T06:34:52Z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93A9B5B34F0146A8837EC6ED2077D58E</vt:lpwstr>
  </property>
</Properties>
</file>